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CC4911" w:rsidRPr="00442BA6" w:rsidRDefault="00442BA6" w:rsidP="00442BA6">
      <w:pPr>
        <w:pStyle w:val="Heading1"/>
        <w:rPr>
          <w:sz w:val="36"/>
          <w:szCs w:val="36"/>
        </w:rPr>
      </w:pPr>
      <w:r w:rsidRPr="00442BA6">
        <w:rPr>
          <w:sz w:val="36"/>
          <w:szCs w:val="36"/>
        </w:rPr>
        <w:t xml:space="preserve">Health Advisory: </w:t>
      </w:r>
      <w:r w:rsidR="00EC1BBE" w:rsidRPr="00EC1BBE">
        <w:rPr>
          <w:sz w:val="36"/>
          <w:szCs w:val="36"/>
        </w:rPr>
        <w:t xml:space="preserve">Shortage of Pharmaceuticals Used to Prevent and Treat </w:t>
      </w:r>
      <w:r w:rsidR="00EC1BBE" w:rsidRPr="00EC1BBE">
        <w:rPr>
          <w:i/>
          <w:sz w:val="36"/>
          <w:szCs w:val="36"/>
        </w:rPr>
        <w:t xml:space="preserve">Neisseria </w:t>
      </w:r>
      <w:proofErr w:type="spellStart"/>
      <w:r w:rsidR="00EC1BBE" w:rsidRPr="00EC1BBE">
        <w:rPr>
          <w:i/>
          <w:sz w:val="36"/>
          <w:szCs w:val="36"/>
        </w:rPr>
        <w:t>gonorrhoeae</w:t>
      </w:r>
      <w:proofErr w:type="spellEnd"/>
      <w:r w:rsidR="00EC1BBE" w:rsidRPr="00EC1BBE">
        <w:rPr>
          <w:sz w:val="36"/>
          <w:szCs w:val="36"/>
        </w:rPr>
        <w:t xml:space="preserve"> Infections</w:t>
      </w:r>
    </w:p>
    <w:p w:rsidR="00442BA6" w:rsidRPr="0019411C" w:rsidRDefault="00442BA6" w:rsidP="00442BA6">
      <w:pPr>
        <w:rPr>
          <w:sz w:val="20"/>
          <w:szCs w:val="20"/>
        </w:rPr>
      </w:pPr>
      <w:r w:rsidRPr="0019411C">
        <w:rPr>
          <w:sz w:val="20"/>
          <w:szCs w:val="20"/>
        </w:rPr>
        <w:t>Minnesota De</w:t>
      </w:r>
      <w:r w:rsidR="00D94865" w:rsidRPr="0019411C">
        <w:rPr>
          <w:sz w:val="20"/>
          <w:szCs w:val="20"/>
        </w:rPr>
        <w:t xml:space="preserve">partment of Health </w:t>
      </w:r>
      <w:r w:rsidR="00A95B87">
        <w:rPr>
          <w:sz w:val="20"/>
          <w:szCs w:val="20"/>
        </w:rPr>
        <w:t>Tue</w:t>
      </w:r>
      <w:r w:rsidR="00D94865" w:rsidRPr="0019411C">
        <w:rPr>
          <w:sz w:val="20"/>
          <w:szCs w:val="20"/>
        </w:rPr>
        <w:t xml:space="preserve"> </w:t>
      </w:r>
      <w:r w:rsidR="00EC1BBE">
        <w:rPr>
          <w:sz w:val="20"/>
          <w:szCs w:val="20"/>
        </w:rPr>
        <w:t>April</w:t>
      </w:r>
      <w:r w:rsidR="00D94865" w:rsidRPr="0019411C">
        <w:rPr>
          <w:sz w:val="20"/>
          <w:szCs w:val="20"/>
        </w:rPr>
        <w:t xml:space="preserve"> </w:t>
      </w:r>
      <w:r w:rsidR="00EC1BBE">
        <w:rPr>
          <w:sz w:val="20"/>
          <w:szCs w:val="20"/>
        </w:rPr>
        <w:t>1</w:t>
      </w:r>
      <w:r w:rsidR="00A95B87">
        <w:rPr>
          <w:sz w:val="20"/>
          <w:szCs w:val="20"/>
        </w:rPr>
        <w:t>6</w:t>
      </w:r>
      <w:r w:rsidR="00EC1BBE">
        <w:rPr>
          <w:sz w:val="20"/>
          <w:szCs w:val="20"/>
        </w:rPr>
        <w:t xml:space="preserve"> 11</w:t>
      </w:r>
      <w:r w:rsidRPr="0019411C">
        <w:rPr>
          <w:sz w:val="20"/>
          <w:szCs w:val="20"/>
        </w:rPr>
        <w:t>:00 CDT 2019</w:t>
      </w:r>
    </w:p>
    <w:p w:rsidR="0019411C" w:rsidRPr="00EC1BBE" w:rsidRDefault="0019411C" w:rsidP="0019411C">
      <w:pPr>
        <w:pStyle w:val="Heading2"/>
        <w:rPr>
          <w:sz w:val="24"/>
          <w:szCs w:val="24"/>
        </w:rPr>
      </w:pPr>
      <w:r w:rsidRPr="00EC1BBE">
        <w:rPr>
          <w:sz w:val="24"/>
          <w:szCs w:val="24"/>
        </w:rPr>
        <w:t>Action Steps</w:t>
      </w:r>
    </w:p>
    <w:p w:rsidR="0019411C" w:rsidRPr="00EC1BBE" w:rsidRDefault="0019411C" w:rsidP="0019411C">
      <w:pPr>
        <w:pStyle w:val="NormalWeb"/>
        <w:spacing w:before="0" w:beforeAutospacing="0" w:after="0" w:afterAutospacing="0"/>
        <w:contextualSpacing/>
        <w:rPr>
          <w:rFonts w:cstheme="minorHAnsi"/>
          <w:sz w:val="24"/>
        </w:rPr>
      </w:pPr>
      <w:r w:rsidRPr="00EC1BBE">
        <w:rPr>
          <w:rFonts w:cstheme="minorHAnsi"/>
          <w:b/>
          <w:bCs/>
          <w:i/>
          <w:iCs/>
          <w:sz w:val="24"/>
        </w:rPr>
        <w:t xml:space="preserve">Local and tribal health departments: </w:t>
      </w:r>
      <w:r w:rsidR="00EC1BBE" w:rsidRPr="00EC1BBE">
        <w:rPr>
          <w:rFonts w:cstheme="minorHAnsi"/>
          <w:sz w:val="24"/>
        </w:rPr>
        <w:t>Please forward to hospitals and ambulatory clinics in your jurisdictions.</w:t>
      </w:r>
      <w:r w:rsidRPr="00EC1BBE">
        <w:rPr>
          <w:rFonts w:cstheme="minorHAnsi"/>
          <w:sz w:val="24"/>
        </w:rPr>
        <w:br/>
      </w:r>
      <w:r w:rsidRPr="00EC1BBE">
        <w:rPr>
          <w:rFonts w:cstheme="minorHAnsi"/>
          <w:b/>
          <w:bCs/>
          <w:i/>
          <w:iCs/>
          <w:sz w:val="24"/>
        </w:rPr>
        <w:t xml:space="preserve">Hospitals and clinics: </w:t>
      </w:r>
      <w:r w:rsidR="00EC1BBE" w:rsidRPr="00EC1BBE">
        <w:rPr>
          <w:rFonts w:cstheme="minorHAnsi"/>
          <w:sz w:val="24"/>
        </w:rPr>
        <w:t xml:space="preserve">Please distribute to obstetricians, pediatricians, primary care providers, infectious disease specialists, pharmacists, and infection </w:t>
      </w:r>
      <w:proofErr w:type="spellStart"/>
      <w:r w:rsidR="00EC1BBE" w:rsidRPr="00EC1BBE">
        <w:rPr>
          <w:rFonts w:cstheme="minorHAnsi"/>
          <w:sz w:val="24"/>
        </w:rPr>
        <w:t>preventionists</w:t>
      </w:r>
      <w:proofErr w:type="spellEnd"/>
      <w:r w:rsidR="00EC1BBE" w:rsidRPr="00EC1BBE">
        <w:rPr>
          <w:rFonts w:cstheme="minorHAnsi"/>
          <w:sz w:val="24"/>
        </w:rPr>
        <w:t xml:space="preserve"> in your facilities. </w:t>
      </w:r>
      <w:r w:rsidR="00EC1BBE" w:rsidRPr="00EC1BBE">
        <w:rPr>
          <w:rFonts w:cstheme="minorHAnsi"/>
          <w:sz w:val="24"/>
        </w:rPr>
        <w:br/>
      </w:r>
      <w:r w:rsidRPr="00EC1BBE">
        <w:rPr>
          <w:rFonts w:cstheme="minorHAnsi"/>
          <w:b/>
          <w:bCs/>
          <w:i/>
          <w:iCs/>
          <w:sz w:val="24"/>
        </w:rPr>
        <w:t>Health care providers:</w:t>
      </w:r>
    </w:p>
    <w:p w:rsidR="00A95B87" w:rsidRPr="00A95B87" w:rsidRDefault="00A95B87" w:rsidP="00EC1BBE">
      <w:pPr>
        <w:numPr>
          <w:ilvl w:val="0"/>
          <w:numId w:val="9"/>
        </w:numPr>
        <w:autoSpaceDE w:val="0"/>
        <w:autoSpaceDN w:val="0"/>
        <w:adjustRightInd w:val="0"/>
        <w:spacing w:after="0" w:line="259" w:lineRule="auto"/>
        <w:rPr>
          <w:rFonts w:asciiTheme="minorHAnsi" w:eastAsia="Calibri" w:hAnsiTheme="minorHAnsi" w:cstheme="minorHAnsi"/>
          <w:color w:val="000000"/>
          <w:sz w:val="24"/>
          <w:szCs w:val="24"/>
        </w:rPr>
      </w:pPr>
      <w:r>
        <w:rPr>
          <w:rFonts w:ascii="Arial" w:hAnsi="Arial" w:cs="Arial"/>
          <w:sz w:val="21"/>
          <w:szCs w:val="21"/>
          <w:shd w:val="clear" w:color="auto" w:fill="FFFFFF"/>
        </w:rPr>
        <w:t xml:space="preserve">Give ceftriaxone 25-50 mg/kg IV or IM (not to exceed 125 mg in a single dose) to prevent </w:t>
      </w:r>
      <w:proofErr w:type="spellStart"/>
      <w:r>
        <w:rPr>
          <w:rFonts w:ascii="Arial" w:hAnsi="Arial" w:cs="Arial"/>
          <w:sz w:val="21"/>
          <w:szCs w:val="21"/>
          <w:shd w:val="clear" w:color="auto" w:fill="FFFFFF"/>
        </w:rPr>
        <w:t>ophthalmia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neonatorum</w:t>
      </w:r>
      <w:proofErr w:type="spellEnd"/>
      <w:r>
        <w:rPr>
          <w:rFonts w:ascii="Arial" w:hAnsi="Arial" w:cs="Arial"/>
          <w:sz w:val="21"/>
          <w:szCs w:val="21"/>
          <w:shd w:val="clear" w:color="auto" w:fill="FFFFFF"/>
        </w:rPr>
        <w:t xml:space="preserve"> in newborn infants at greatest risk for perinatal exposure to </w:t>
      </w:r>
      <w:r>
        <w:rPr>
          <w:rFonts w:ascii="Arial" w:hAnsi="Arial" w:cs="Arial"/>
          <w:i/>
          <w:iCs/>
          <w:sz w:val="21"/>
          <w:szCs w:val="21"/>
          <w:shd w:val="clear" w:color="auto" w:fill="FFFFFF"/>
        </w:rPr>
        <w:t xml:space="preserve">Neisseria </w:t>
      </w:r>
      <w:proofErr w:type="spellStart"/>
      <w:r>
        <w:rPr>
          <w:rFonts w:ascii="Arial" w:hAnsi="Arial" w:cs="Arial"/>
          <w:i/>
          <w:iCs/>
          <w:sz w:val="21"/>
          <w:szCs w:val="21"/>
          <w:shd w:val="clear" w:color="auto" w:fill="FFFFFF"/>
        </w:rPr>
        <w:t>gonorrhoeae</w:t>
      </w:r>
      <w:proofErr w:type="spellEnd"/>
      <w:r>
        <w:rPr>
          <w:rFonts w:ascii="Arial" w:hAnsi="Arial" w:cs="Arial"/>
          <w:sz w:val="21"/>
          <w:szCs w:val="21"/>
          <w:shd w:val="clear" w:color="auto" w:fill="FFFFFF"/>
        </w:rPr>
        <w:t> if erythromycin (0.5%) ophthalmic ointment is unavailable.</w:t>
      </w:r>
    </w:p>
    <w:p w:rsidR="00EC1BBE" w:rsidRPr="00EC1BBE" w:rsidRDefault="00EC1BBE" w:rsidP="00EC1BBE">
      <w:pPr>
        <w:numPr>
          <w:ilvl w:val="0"/>
          <w:numId w:val="9"/>
        </w:numPr>
        <w:autoSpaceDE w:val="0"/>
        <w:autoSpaceDN w:val="0"/>
        <w:adjustRightInd w:val="0"/>
        <w:spacing w:after="0" w:line="259" w:lineRule="auto"/>
        <w:rPr>
          <w:rFonts w:asciiTheme="minorHAnsi" w:eastAsia="Calibri" w:hAnsiTheme="minorHAnsi" w:cstheme="minorHAnsi"/>
          <w:color w:val="000000"/>
          <w:sz w:val="24"/>
          <w:szCs w:val="24"/>
        </w:rPr>
      </w:pPr>
      <w:r w:rsidRPr="00EC1BBE">
        <w:rPr>
          <w:rFonts w:asciiTheme="minorHAnsi" w:eastAsia="Calibri" w:hAnsiTheme="minorHAnsi" w:cstheme="minorHAnsi"/>
          <w:color w:val="000000"/>
          <w:sz w:val="24"/>
          <w:szCs w:val="24"/>
        </w:rPr>
        <w:t xml:space="preserve">Follow CDC screening guidance for </w:t>
      </w:r>
      <w:r w:rsidRPr="00EC1BBE">
        <w:rPr>
          <w:rFonts w:asciiTheme="minorHAnsi" w:eastAsia="Calibri" w:hAnsiTheme="minorHAnsi" w:cstheme="minorHAnsi"/>
          <w:i/>
          <w:iCs/>
          <w:color w:val="000000"/>
          <w:sz w:val="24"/>
          <w:szCs w:val="24"/>
        </w:rPr>
        <w:t xml:space="preserve">Neisseria </w:t>
      </w:r>
      <w:proofErr w:type="spellStart"/>
      <w:r w:rsidRPr="00EC1BBE">
        <w:rPr>
          <w:rFonts w:asciiTheme="minorHAnsi" w:eastAsia="Calibri" w:hAnsiTheme="minorHAnsi" w:cstheme="minorHAnsi"/>
          <w:i/>
          <w:iCs/>
          <w:color w:val="000000"/>
          <w:sz w:val="24"/>
          <w:szCs w:val="24"/>
        </w:rPr>
        <w:t>gonorrhoeae</w:t>
      </w:r>
      <w:proofErr w:type="spellEnd"/>
      <w:r w:rsidRPr="00EC1BBE">
        <w:rPr>
          <w:rFonts w:asciiTheme="minorHAnsi" w:eastAsia="Calibri" w:hAnsiTheme="minorHAnsi" w:cstheme="minorHAnsi"/>
          <w:iCs/>
          <w:color w:val="000000"/>
          <w:sz w:val="24"/>
          <w:szCs w:val="24"/>
        </w:rPr>
        <w:t xml:space="preserve"> during pregnancy.</w:t>
      </w:r>
    </w:p>
    <w:p w:rsidR="00EC1BBE" w:rsidRPr="00EC1BBE" w:rsidRDefault="00EC1BBE" w:rsidP="00EC1BBE">
      <w:pPr>
        <w:numPr>
          <w:ilvl w:val="0"/>
          <w:numId w:val="9"/>
        </w:numPr>
        <w:autoSpaceDE w:val="0"/>
        <w:autoSpaceDN w:val="0"/>
        <w:adjustRightInd w:val="0"/>
        <w:spacing w:after="0" w:line="259" w:lineRule="auto"/>
        <w:rPr>
          <w:rFonts w:asciiTheme="minorHAnsi" w:eastAsia="Calibri" w:hAnsiTheme="minorHAnsi" w:cstheme="minorHAnsi"/>
          <w:color w:val="000000"/>
          <w:sz w:val="24"/>
          <w:szCs w:val="24"/>
        </w:rPr>
      </w:pPr>
      <w:r w:rsidRPr="00EC1BBE">
        <w:rPr>
          <w:rFonts w:asciiTheme="minorHAnsi" w:eastAsia="Calibri" w:hAnsiTheme="minorHAnsi" w:cstheme="minorHAnsi"/>
          <w:color w:val="000000"/>
          <w:sz w:val="24"/>
          <w:szCs w:val="24"/>
        </w:rPr>
        <w:t xml:space="preserve">Report </w:t>
      </w:r>
      <w:r w:rsidR="00A95B87">
        <w:rPr>
          <w:rFonts w:asciiTheme="minorHAnsi" w:eastAsia="Calibri" w:hAnsiTheme="minorHAnsi" w:cstheme="minorHAnsi"/>
          <w:color w:val="000000"/>
          <w:sz w:val="24"/>
          <w:szCs w:val="24"/>
        </w:rPr>
        <w:t xml:space="preserve">to MDH </w:t>
      </w:r>
      <w:r w:rsidRPr="00EC1BBE">
        <w:rPr>
          <w:rFonts w:asciiTheme="minorHAnsi" w:eastAsia="Calibri" w:hAnsiTheme="minorHAnsi" w:cstheme="minorHAnsi"/>
          <w:color w:val="000000"/>
          <w:sz w:val="24"/>
          <w:szCs w:val="24"/>
        </w:rPr>
        <w:t xml:space="preserve">any challenges in procuring medications needed prevent or treat </w:t>
      </w:r>
      <w:r w:rsidRPr="00EC1BBE">
        <w:rPr>
          <w:rFonts w:asciiTheme="minorHAnsi" w:eastAsia="Calibri" w:hAnsiTheme="minorHAnsi" w:cstheme="minorHAnsi"/>
          <w:i/>
          <w:iCs/>
          <w:color w:val="000000"/>
          <w:sz w:val="24"/>
          <w:szCs w:val="24"/>
        </w:rPr>
        <w:t xml:space="preserve">Neisseria </w:t>
      </w:r>
      <w:proofErr w:type="spellStart"/>
      <w:r w:rsidRPr="00EC1BBE">
        <w:rPr>
          <w:rFonts w:asciiTheme="minorHAnsi" w:eastAsia="Calibri" w:hAnsiTheme="minorHAnsi" w:cstheme="minorHAnsi"/>
          <w:i/>
          <w:iCs/>
          <w:color w:val="000000"/>
          <w:sz w:val="24"/>
          <w:szCs w:val="24"/>
        </w:rPr>
        <w:t>gonorrhoeae</w:t>
      </w:r>
      <w:proofErr w:type="spellEnd"/>
      <w:r w:rsidRPr="00EC1BBE">
        <w:rPr>
          <w:rFonts w:asciiTheme="minorHAnsi" w:eastAsia="Calibri" w:hAnsiTheme="minorHAnsi" w:cstheme="minorHAnsi"/>
          <w:i/>
          <w:iCs/>
          <w:color w:val="000000"/>
          <w:sz w:val="24"/>
          <w:szCs w:val="24"/>
        </w:rPr>
        <w:t xml:space="preserve"> </w:t>
      </w:r>
      <w:r w:rsidRPr="00EC1BBE">
        <w:rPr>
          <w:rFonts w:asciiTheme="minorHAnsi" w:eastAsia="Calibri" w:hAnsiTheme="minorHAnsi" w:cstheme="minorHAnsi"/>
          <w:iCs/>
          <w:color w:val="000000"/>
          <w:sz w:val="24"/>
          <w:szCs w:val="24"/>
        </w:rPr>
        <w:t>infections (including</w:t>
      </w:r>
      <w:r w:rsidRPr="00EC1BBE">
        <w:rPr>
          <w:rFonts w:asciiTheme="minorHAnsi" w:eastAsia="Calibri" w:hAnsiTheme="minorHAnsi" w:cstheme="minorHAnsi"/>
          <w:color w:val="000000"/>
          <w:sz w:val="24"/>
          <w:szCs w:val="24"/>
        </w:rPr>
        <w:t xml:space="preserve"> erythromycin (0.5%) ophthalmic ointment and diluents used for ceftriaxone administration) or syphilis infections (including </w:t>
      </w:r>
      <w:r w:rsidRPr="00EC1BBE">
        <w:rPr>
          <w:rFonts w:asciiTheme="minorHAnsi" w:eastAsia="Calibri" w:hAnsiTheme="minorHAnsi" w:cstheme="minorHAnsi"/>
          <w:bCs/>
          <w:color w:val="000000"/>
          <w:sz w:val="24"/>
          <w:szCs w:val="24"/>
        </w:rPr>
        <w:t xml:space="preserve">Penicillin G </w:t>
      </w:r>
      <w:proofErr w:type="spellStart"/>
      <w:r w:rsidRPr="00EC1BBE">
        <w:rPr>
          <w:rFonts w:asciiTheme="minorHAnsi" w:eastAsia="Calibri" w:hAnsiTheme="minorHAnsi" w:cstheme="minorHAnsi"/>
          <w:bCs/>
          <w:color w:val="000000"/>
          <w:sz w:val="24"/>
          <w:szCs w:val="24"/>
        </w:rPr>
        <w:t>benzathine</w:t>
      </w:r>
      <w:proofErr w:type="spellEnd"/>
      <w:r w:rsidRPr="00EC1BBE">
        <w:rPr>
          <w:rFonts w:asciiTheme="minorHAnsi" w:eastAsia="Calibri" w:hAnsiTheme="minorHAnsi" w:cstheme="minorHAnsi"/>
          <w:bCs/>
          <w:color w:val="000000"/>
          <w:sz w:val="24"/>
          <w:szCs w:val="24"/>
        </w:rPr>
        <w:t xml:space="preserve"> </w:t>
      </w:r>
      <w:r w:rsidRPr="00EC1BBE">
        <w:rPr>
          <w:rFonts w:asciiTheme="minorHAnsi" w:eastAsia="Calibri" w:hAnsiTheme="minorHAnsi" w:cstheme="minorHAnsi"/>
          <w:color w:val="000000"/>
          <w:sz w:val="24"/>
          <w:szCs w:val="24"/>
        </w:rPr>
        <w:t xml:space="preserve">and </w:t>
      </w:r>
      <w:r w:rsidRPr="00EC1BBE">
        <w:rPr>
          <w:rFonts w:asciiTheme="minorHAnsi" w:eastAsia="Calibri" w:hAnsiTheme="minorHAnsi" w:cstheme="minorHAnsi"/>
          <w:bCs/>
          <w:color w:val="000000"/>
          <w:sz w:val="24"/>
          <w:szCs w:val="24"/>
        </w:rPr>
        <w:t>Penicillin G procaine)</w:t>
      </w:r>
      <w:r w:rsidRPr="00EC1BBE">
        <w:rPr>
          <w:rFonts w:asciiTheme="minorHAnsi" w:eastAsia="Calibri" w:hAnsiTheme="minorHAnsi" w:cstheme="minorHAnsi"/>
          <w:color w:val="000000"/>
          <w:sz w:val="24"/>
          <w:szCs w:val="24"/>
        </w:rPr>
        <w:t xml:space="preserve"> to MDH (651-201-5414).</w:t>
      </w:r>
    </w:p>
    <w:p w:rsidR="00EC1BBE" w:rsidRDefault="00EC1BBE" w:rsidP="0019411C">
      <w:pPr>
        <w:pStyle w:val="Heading2"/>
      </w:pPr>
    </w:p>
    <w:p w:rsidR="00EC1BBE" w:rsidRPr="00391C01" w:rsidRDefault="00EC1BBE" w:rsidP="00EC1BBE">
      <w:pPr>
        <w:pStyle w:val="Default"/>
        <w:rPr>
          <w:rFonts w:asciiTheme="minorHAnsi" w:hAnsiTheme="minorHAnsi" w:cstheme="minorHAnsi"/>
          <w:i/>
        </w:rPr>
      </w:pPr>
      <w:r w:rsidRPr="00391C01">
        <w:rPr>
          <w:rFonts w:asciiTheme="minorHAnsi" w:hAnsiTheme="minorHAnsi" w:cstheme="minorHAnsi"/>
          <w:b/>
          <w:bCs/>
          <w:i/>
        </w:rPr>
        <w:t>Erythromycin (0.5%) Ophthalmic Ointment</w:t>
      </w:r>
    </w:p>
    <w:p w:rsidR="00EC1BBE" w:rsidRPr="006B7985" w:rsidRDefault="00EC1BBE" w:rsidP="00EC1BBE">
      <w:pPr>
        <w:pStyle w:val="Default"/>
        <w:rPr>
          <w:rFonts w:asciiTheme="minorHAnsi" w:hAnsiTheme="minorHAnsi" w:cstheme="minorHAnsi"/>
        </w:rPr>
      </w:pPr>
      <w:r w:rsidRPr="006B7985">
        <w:rPr>
          <w:rFonts w:asciiTheme="minorHAnsi" w:hAnsiTheme="minorHAnsi" w:cstheme="minorHAnsi"/>
        </w:rPr>
        <w:t xml:space="preserve">On March 5, 2019, the Food and Drug Administration (FDA) released a report on a </w:t>
      </w:r>
      <w:r w:rsidRPr="006B7985">
        <w:rPr>
          <w:rFonts w:asciiTheme="minorHAnsi" w:hAnsiTheme="minorHAnsi" w:cstheme="minorHAnsi"/>
          <w:b/>
          <w:bCs/>
        </w:rPr>
        <w:t xml:space="preserve">shortage of erythromycin (0.5%) ophthalmic ointment. </w:t>
      </w:r>
      <w:r w:rsidRPr="006B7985">
        <w:rPr>
          <w:rFonts w:asciiTheme="minorHAnsi" w:hAnsiTheme="minorHAnsi" w:cstheme="minorHAnsi"/>
        </w:rPr>
        <w:t xml:space="preserve">This is a serious problem because erythromycin (0.5%) ophthalmic ointment is the only antibiotic ointment currently recommended and the only drug cleared by the FDA for the prophylaxis of gonococcal </w:t>
      </w:r>
      <w:proofErr w:type="spellStart"/>
      <w:r w:rsidRPr="006B7985">
        <w:rPr>
          <w:rFonts w:asciiTheme="minorHAnsi" w:hAnsiTheme="minorHAnsi" w:cstheme="minorHAnsi"/>
        </w:rPr>
        <w:t>ophthalmia</w:t>
      </w:r>
      <w:proofErr w:type="spellEnd"/>
      <w:r w:rsidRPr="006B7985">
        <w:rPr>
          <w:rFonts w:asciiTheme="minorHAnsi" w:hAnsiTheme="minorHAnsi" w:cstheme="minorHAnsi"/>
        </w:rPr>
        <w:t xml:space="preserve"> </w:t>
      </w:r>
      <w:proofErr w:type="spellStart"/>
      <w:r w:rsidRPr="006B7985">
        <w:rPr>
          <w:rFonts w:asciiTheme="minorHAnsi" w:hAnsiTheme="minorHAnsi" w:cstheme="minorHAnsi"/>
        </w:rPr>
        <w:t>neonatorum</w:t>
      </w:r>
      <w:proofErr w:type="spellEnd"/>
      <w:r w:rsidRPr="006B7985">
        <w:rPr>
          <w:rFonts w:asciiTheme="minorHAnsi" w:hAnsiTheme="minorHAnsi" w:cstheme="minorHAnsi"/>
        </w:rPr>
        <w:t xml:space="preserve">. Furthermore, gonorrhea ocular prophylaxis of newborns is mandated by law in Minnesota and is considered standard neonatal care. </w:t>
      </w:r>
    </w:p>
    <w:p w:rsidR="00EC1BBE" w:rsidRPr="006B7985" w:rsidRDefault="00EC1BBE" w:rsidP="00EC1BBE">
      <w:pPr>
        <w:pStyle w:val="Default"/>
        <w:rPr>
          <w:rFonts w:asciiTheme="minorHAnsi" w:hAnsiTheme="minorHAnsi" w:cstheme="minorHAnsi"/>
        </w:rPr>
      </w:pPr>
    </w:p>
    <w:p w:rsidR="00EC1BBE" w:rsidRDefault="00EC1BBE" w:rsidP="00EC1BBE">
      <w:pPr>
        <w:pStyle w:val="Default"/>
        <w:rPr>
          <w:rFonts w:asciiTheme="minorHAnsi" w:hAnsiTheme="minorHAnsi" w:cstheme="minorHAnsi"/>
        </w:rPr>
      </w:pPr>
      <w:r w:rsidRPr="006B7985">
        <w:rPr>
          <w:rFonts w:asciiTheme="minorHAnsi" w:hAnsiTheme="minorHAnsi" w:cstheme="minorHAnsi"/>
        </w:rPr>
        <w:t xml:space="preserve">If erythromycin ointment is not available, CDC recommends that neonates at risk for exposure to </w:t>
      </w:r>
      <w:r w:rsidRPr="006B7985">
        <w:rPr>
          <w:rFonts w:asciiTheme="minorHAnsi" w:hAnsiTheme="minorHAnsi" w:cstheme="minorHAnsi"/>
          <w:i/>
          <w:iCs/>
        </w:rPr>
        <w:t xml:space="preserve">N. </w:t>
      </w:r>
      <w:proofErr w:type="spellStart"/>
      <w:r w:rsidRPr="006B7985">
        <w:rPr>
          <w:rFonts w:asciiTheme="minorHAnsi" w:hAnsiTheme="minorHAnsi" w:cstheme="minorHAnsi"/>
          <w:i/>
          <w:iCs/>
        </w:rPr>
        <w:t>gonorrhoeae</w:t>
      </w:r>
      <w:proofErr w:type="spellEnd"/>
      <w:r w:rsidRPr="006B7985">
        <w:rPr>
          <w:rFonts w:asciiTheme="minorHAnsi" w:hAnsiTheme="minorHAnsi" w:cstheme="minorHAnsi"/>
          <w:i/>
          <w:iCs/>
        </w:rPr>
        <w:t xml:space="preserve"> </w:t>
      </w:r>
      <w:r w:rsidRPr="006B7985">
        <w:rPr>
          <w:rFonts w:asciiTheme="minorHAnsi" w:hAnsiTheme="minorHAnsi" w:cstheme="minorHAnsi"/>
        </w:rPr>
        <w:t xml:space="preserve">during delivery (especially those born to a mother at risk for gonococcal infection or with no prenatal care) be administered </w:t>
      </w:r>
      <w:r w:rsidRPr="006B7985">
        <w:rPr>
          <w:rFonts w:asciiTheme="minorHAnsi" w:hAnsiTheme="minorHAnsi" w:cstheme="minorHAnsi"/>
          <w:b/>
        </w:rPr>
        <w:t>ceftriaxone 25–50 mg/kg IV or IM, not to exceed 125 mg in a single dose</w:t>
      </w:r>
      <w:r w:rsidRPr="006B7985">
        <w:rPr>
          <w:rFonts w:asciiTheme="minorHAnsi" w:hAnsiTheme="minorHAnsi" w:cstheme="minorHAnsi"/>
        </w:rPr>
        <w:t xml:space="preserve">. For more information, please see the </w:t>
      </w:r>
      <w:hyperlink r:id="rId9" w:history="1">
        <w:r w:rsidRPr="00EC1BBE">
          <w:rPr>
            <w:rStyle w:val="Hyperlink"/>
            <w:rFonts w:asciiTheme="minorHAnsi" w:hAnsiTheme="minorHAnsi" w:cstheme="minorHAnsi"/>
          </w:rPr>
          <w:t>2015 STD Treatment Guidelines</w:t>
        </w:r>
      </w:hyperlink>
      <w:r>
        <w:rPr>
          <w:rFonts w:asciiTheme="minorHAnsi" w:hAnsiTheme="minorHAnsi" w:cstheme="minorHAnsi"/>
        </w:rPr>
        <w:t>.</w:t>
      </w:r>
    </w:p>
    <w:p w:rsidR="00EC1BBE" w:rsidRPr="006B7985" w:rsidRDefault="00EC1BBE" w:rsidP="00EC1BBE">
      <w:pPr>
        <w:pStyle w:val="Default"/>
        <w:rPr>
          <w:rFonts w:asciiTheme="minorHAnsi" w:hAnsiTheme="minorHAnsi" w:cstheme="minorHAnsi"/>
        </w:rPr>
      </w:pPr>
    </w:p>
    <w:p w:rsidR="00EC1BBE" w:rsidRPr="006B7985" w:rsidRDefault="00A95B87" w:rsidP="00EC1BBE">
      <w:pPr>
        <w:rPr>
          <w:rFonts w:cstheme="minorHAnsi"/>
          <w:sz w:val="24"/>
          <w:szCs w:val="24"/>
        </w:rPr>
      </w:pPr>
      <w:r w:rsidRPr="00A95B87">
        <w:rPr>
          <w:rFonts w:cstheme="minorHAnsi"/>
          <w:sz w:val="24"/>
          <w:szCs w:val="24"/>
        </w:rPr>
        <w:t xml:space="preserve">Prenatal screening is the best method for preventing gonococcal </w:t>
      </w:r>
      <w:proofErr w:type="spellStart"/>
      <w:r w:rsidRPr="00A95B87">
        <w:rPr>
          <w:rFonts w:cstheme="minorHAnsi"/>
          <w:sz w:val="24"/>
          <w:szCs w:val="24"/>
        </w:rPr>
        <w:t>ophthalmia</w:t>
      </w:r>
      <w:proofErr w:type="spellEnd"/>
      <w:r w:rsidRPr="00A95B87">
        <w:rPr>
          <w:rFonts w:cstheme="minorHAnsi"/>
          <w:sz w:val="24"/>
          <w:szCs w:val="24"/>
        </w:rPr>
        <w:t xml:space="preserve"> </w:t>
      </w:r>
      <w:proofErr w:type="spellStart"/>
      <w:r w:rsidRPr="00A95B87">
        <w:rPr>
          <w:rFonts w:cstheme="minorHAnsi"/>
          <w:sz w:val="24"/>
          <w:szCs w:val="24"/>
        </w:rPr>
        <w:t>neonatorum</w:t>
      </w:r>
      <w:proofErr w:type="spellEnd"/>
      <w:r w:rsidRPr="00A95B87">
        <w:rPr>
          <w:rFonts w:cstheme="minorHAnsi"/>
          <w:sz w:val="24"/>
          <w:szCs w:val="24"/>
        </w:rPr>
        <w:t xml:space="preserve"> among newborns. All pregnant women younger than 25 years of age and women 25 years of age and older who are at increased risk should be screened for </w:t>
      </w:r>
      <w:r w:rsidRPr="00A95B87">
        <w:rPr>
          <w:rFonts w:cstheme="minorHAnsi"/>
          <w:i/>
          <w:iCs/>
          <w:sz w:val="24"/>
          <w:szCs w:val="24"/>
        </w:rPr>
        <w:t xml:space="preserve">N. </w:t>
      </w:r>
      <w:proofErr w:type="spellStart"/>
      <w:r w:rsidRPr="00A95B87">
        <w:rPr>
          <w:rFonts w:cstheme="minorHAnsi"/>
          <w:i/>
          <w:iCs/>
          <w:sz w:val="24"/>
          <w:szCs w:val="24"/>
        </w:rPr>
        <w:t>gonorrhoeae</w:t>
      </w:r>
      <w:proofErr w:type="spellEnd"/>
      <w:r w:rsidRPr="00A95B87">
        <w:rPr>
          <w:rFonts w:cstheme="minorHAnsi"/>
          <w:i/>
          <w:iCs/>
          <w:sz w:val="24"/>
          <w:szCs w:val="24"/>
        </w:rPr>
        <w:t> </w:t>
      </w:r>
      <w:r w:rsidRPr="00A95B87">
        <w:rPr>
          <w:rFonts w:cstheme="minorHAnsi"/>
          <w:sz w:val="24"/>
          <w:szCs w:val="24"/>
        </w:rPr>
        <w:t>at the </w:t>
      </w:r>
      <w:r w:rsidRPr="00A95B87">
        <w:rPr>
          <w:rFonts w:cstheme="minorHAnsi"/>
          <w:b/>
          <w:bCs/>
          <w:sz w:val="24"/>
          <w:szCs w:val="24"/>
        </w:rPr>
        <w:t>first prenatal care visit</w:t>
      </w:r>
      <w:r w:rsidRPr="00A95B87">
        <w:rPr>
          <w:rFonts w:cstheme="minorHAnsi"/>
          <w:sz w:val="24"/>
          <w:szCs w:val="24"/>
        </w:rPr>
        <w:t> and </w:t>
      </w:r>
      <w:r w:rsidRPr="00A95B87">
        <w:rPr>
          <w:rFonts w:cstheme="minorHAnsi"/>
          <w:b/>
          <w:bCs/>
          <w:sz w:val="24"/>
          <w:szCs w:val="24"/>
        </w:rPr>
        <w:t>again at the third trimester if risk continues</w:t>
      </w:r>
      <w:r w:rsidRPr="00A95B87">
        <w:rPr>
          <w:rFonts w:cstheme="minorHAnsi"/>
          <w:sz w:val="24"/>
          <w:szCs w:val="24"/>
        </w:rPr>
        <w:t> during pregnancy. Women older than 25 years old who are at increased risk of gonorrhea include women with new or multiple sex partners, a sex partner with multiple partners, a sex partner who has had an STD in the preceding year, inconsistent condom use among persons not in mutually monogamous relationships, previous or coexisting sexually transmitted infection, and women who exchange sex for money or drugs. Also, all females treated for gonorrhea should be retested 3 months following treatment.</w:t>
      </w:r>
    </w:p>
    <w:p w:rsidR="00EC1BBE" w:rsidRDefault="00EC1BBE" w:rsidP="00A95B87">
      <w:pPr>
        <w:spacing w:after="0"/>
        <w:rPr>
          <w:rFonts w:asciiTheme="minorHAnsi" w:hAnsiTheme="minorHAnsi" w:cstheme="minorHAnsi"/>
          <w:sz w:val="24"/>
          <w:szCs w:val="24"/>
        </w:rPr>
      </w:pPr>
      <w:r w:rsidRPr="006B7985">
        <w:rPr>
          <w:rFonts w:cstheme="minorHAnsi"/>
          <w:b/>
          <w:bCs/>
          <w:i/>
          <w:iCs/>
          <w:sz w:val="24"/>
          <w:szCs w:val="24"/>
        </w:rPr>
        <w:lastRenderedPageBreak/>
        <w:t>Ceftriaxone Diluents</w:t>
      </w:r>
      <w:r>
        <w:rPr>
          <w:rFonts w:cstheme="minorHAnsi"/>
          <w:b/>
          <w:bCs/>
          <w:i/>
          <w:iCs/>
          <w:sz w:val="24"/>
          <w:szCs w:val="24"/>
        </w:rPr>
        <w:br/>
      </w:r>
      <w:proofErr w:type="spellStart"/>
      <w:r w:rsidRPr="00EC1BBE">
        <w:rPr>
          <w:rFonts w:asciiTheme="minorHAnsi" w:hAnsiTheme="minorHAnsi" w:cstheme="minorHAnsi"/>
          <w:b/>
          <w:bCs/>
          <w:sz w:val="24"/>
          <w:szCs w:val="24"/>
        </w:rPr>
        <w:t>Diluents</w:t>
      </w:r>
      <w:proofErr w:type="spellEnd"/>
      <w:r w:rsidRPr="00EC1BBE">
        <w:rPr>
          <w:rFonts w:asciiTheme="minorHAnsi" w:hAnsiTheme="minorHAnsi" w:cstheme="minorHAnsi"/>
          <w:b/>
          <w:bCs/>
          <w:sz w:val="24"/>
          <w:szCs w:val="24"/>
        </w:rPr>
        <w:t xml:space="preserve"> for Ceftriaxone are in limited supply</w:t>
      </w:r>
      <w:r w:rsidRPr="00EC1BBE">
        <w:rPr>
          <w:rFonts w:asciiTheme="minorHAnsi" w:hAnsiTheme="minorHAnsi" w:cstheme="minorHAnsi"/>
          <w:sz w:val="24"/>
          <w:szCs w:val="24"/>
        </w:rPr>
        <w:t>. Ceftriaxone is the last remaining known effective antimicrobial for the treatment of uncomplicated gonorrhea. Dual therapy with azithromycin is recommended to mitigate the emergence of Ceftriaxone resistance in the United States. The usual preparation for ceftriaxone is a powder form reconstituted with an appropriate diluent. Diluents currently in shortage include 1% lidocaine without epinephrine, sterile water, and 0.9% sodium chloride. See the full product insert for ceftriaxone for a list of other dilu</w:t>
      </w:r>
      <w:r w:rsidR="00A95B87">
        <w:rPr>
          <w:rFonts w:asciiTheme="minorHAnsi" w:hAnsiTheme="minorHAnsi" w:cstheme="minorHAnsi"/>
          <w:sz w:val="24"/>
          <w:szCs w:val="24"/>
        </w:rPr>
        <w:t>ents to consider.</w:t>
      </w:r>
    </w:p>
    <w:p w:rsidR="00A95B87" w:rsidRPr="00EC1BBE" w:rsidRDefault="00A95B87" w:rsidP="00A95B87">
      <w:pPr>
        <w:spacing w:after="0"/>
        <w:rPr>
          <w:rFonts w:cstheme="minorHAnsi"/>
          <w:b/>
          <w:bCs/>
          <w:iCs/>
          <w:sz w:val="24"/>
          <w:szCs w:val="24"/>
        </w:rPr>
      </w:pPr>
      <w:bookmarkStart w:id="0" w:name="_GoBack"/>
      <w:bookmarkEnd w:id="0"/>
    </w:p>
    <w:p w:rsidR="00EC1BBE" w:rsidRDefault="00EC1BBE" w:rsidP="00EC1BBE">
      <w:pPr>
        <w:pStyle w:val="Default"/>
        <w:rPr>
          <w:rFonts w:asciiTheme="minorHAnsi" w:hAnsiTheme="minorHAnsi" w:cstheme="minorHAnsi"/>
        </w:rPr>
      </w:pPr>
      <w:r w:rsidRPr="006B7985">
        <w:rPr>
          <w:rFonts w:asciiTheme="minorHAnsi" w:hAnsiTheme="minorHAnsi" w:cstheme="minorHAnsi"/>
        </w:rPr>
        <w:t>Current information regarding the availability of erythromycin (0.5%) ophthalmic ointment</w:t>
      </w:r>
      <w:r>
        <w:rPr>
          <w:rFonts w:asciiTheme="minorHAnsi" w:hAnsiTheme="minorHAnsi" w:cstheme="minorHAnsi"/>
        </w:rPr>
        <w:t xml:space="preserve"> and ceftriaxone diluents</w:t>
      </w:r>
      <w:r w:rsidRPr="006B7985">
        <w:rPr>
          <w:rFonts w:asciiTheme="minorHAnsi" w:hAnsiTheme="minorHAnsi" w:cstheme="minorHAnsi"/>
        </w:rPr>
        <w:t xml:space="preserve"> is available at the </w:t>
      </w:r>
      <w:hyperlink r:id="rId10" w:history="1">
        <w:r w:rsidRPr="00B00EE3">
          <w:rPr>
            <w:rStyle w:val="Hyperlink"/>
            <w:rFonts w:asciiTheme="minorHAnsi" w:hAnsiTheme="minorHAnsi" w:cstheme="minorHAnsi"/>
          </w:rPr>
          <w:t>FDA Drug Shortage Website</w:t>
        </w:r>
      </w:hyperlink>
      <w:r w:rsidRPr="006B7985">
        <w:rPr>
          <w:rFonts w:asciiTheme="minorHAnsi" w:hAnsiTheme="minorHAnsi" w:cstheme="minorHAnsi"/>
        </w:rPr>
        <w:t xml:space="preserve">. </w:t>
      </w:r>
    </w:p>
    <w:p w:rsidR="00EC1BBE" w:rsidRDefault="00EC1BBE" w:rsidP="00EC1BBE">
      <w:pPr>
        <w:pStyle w:val="Default"/>
        <w:rPr>
          <w:rFonts w:asciiTheme="minorHAnsi" w:hAnsiTheme="minorHAnsi" w:cstheme="minorHAnsi"/>
        </w:rPr>
      </w:pPr>
    </w:p>
    <w:p w:rsidR="00EC1BBE" w:rsidRPr="00A95B87" w:rsidRDefault="00EC1BBE" w:rsidP="00EC1BBE">
      <w:pPr>
        <w:rPr>
          <w:sz w:val="24"/>
          <w:szCs w:val="24"/>
        </w:rPr>
      </w:pPr>
      <w:r w:rsidRPr="00A95B87">
        <w:rPr>
          <w:sz w:val="24"/>
          <w:szCs w:val="24"/>
        </w:rPr>
        <w:t xml:space="preserve">Recent shortages of Penicillin G </w:t>
      </w:r>
      <w:proofErr w:type="spellStart"/>
      <w:r w:rsidRPr="00A95B87">
        <w:rPr>
          <w:sz w:val="24"/>
          <w:szCs w:val="24"/>
        </w:rPr>
        <w:t>benzanthine</w:t>
      </w:r>
      <w:proofErr w:type="spellEnd"/>
      <w:r w:rsidRPr="00A95B87">
        <w:rPr>
          <w:sz w:val="24"/>
          <w:szCs w:val="24"/>
        </w:rPr>
        <w:t xml:space="preserve"> (</w:t>
      </w:r>
      <w:proofErr w:type="spellStart"/>
      <w:r w:rsidRPr="00A95B87">
        <w:rPr>
          <w:sz w:val="24"/>
          <w:szCs w:val="24"/>
        </w:rPr>
        <w:t>Bicillin</w:t>
      </w:r>
      <w:proofErr w:type="spellEnd"/>
      <w:r w:rsidRPr="00A95B87">
        <w:rPr>
          <w:sz w:val="24"/>
          <w:szCs w:val="24"/>
        </w:rPr>
        <w:t xml:space="preserve"> L-A</w:t>
      </w:r>
      <w:r w:rsidRPr="00A95B87">
        <w:rPr>
          <w:b/>
          <w:sz w:val="24"/>
          <w:szCs w:val="24"/>
        </w:rPr>
        <w:t>®</w:t>
      </w:r>
      <w:r w:rsidRPr="00A95B87">
        <w:rPr>
          <w:sz w:val="24"/>
          <w:szCs w:val="24"/>
        </w:rPr>
        <w:t>) and Penicillin G procaine have been resolved.  However, to stay ahead of any future supply problems related to these essential medications to treat syphilis it is important to notify MDH of any challenges in procuring these medications.</w:t>
      </w:r>
    </w:p>
    <w:p w:rsidR="0019411C" w:rsidRPr="00EC1BBE" w:rsidRDefault="0019411C" w:rsidP="00EC1BBE">
      <w:pPr>
        <w:rPr>
          <w:rFonts w:cstheme="minorHAnsi"/>
        </w:rPr>
      </w:pPr>
      <w:r w:rsidRPr="00EC1BBE">
        <w:rPr>
          <w:rFonts w:cstheme="minorHAnsi"/>
        </w:rPr>
        <w:t>A c</w:t>
      </w:r>
      <w:r w:rsidR="00EC1BBE" w:rsidRPr="00EC1BBE">
        <w:rPr>
          <w:rFonts w:cstheme="minorHAnsi"/>
        </w:rPr>
        <w:t xml:space="preserve">opy of this HAN is available at </w:t>
      </w:r>
      <w:hyperlink r:id="rId11" w:history="1">
        <w:r w:rsidRPr="00EC1BBE">
          <w:rPr>
            <w:rStyle w:val="Hyperlink"/>
            <w:rFonts w:cstheme="minorHAnsi"/>
          </w:rPr>
          <w:t>https://www.health.state.mn.us/communities/ep/han/index.html</w:t>
        </w:r>
      </w:hyperlink>
      <w:r w:rsidRPr="00EC1BBE">
        <w:rPr>
          <w:rFonts w:cstheme="minorHAnsi"/>
        </w:rPr>
        <w:br/>
      </w:r>
      <w:proofErr w:type="gramStart"/>
      <w:r w:rsidRPr="00EC1BBE">
        <w:rPr>
          <w:rFonts w:cstheme="minorHAnsi"/>
        </w:rPr>
        <w:t>The</w:t>
      </w:r>
      <w:proofErr w:type="gramEnd"/>
      <w:r w:rsidRPr="00EC1BBE">
        <w:rPr>
          <w:rFonts w:cstheme="minorHAnsi"/>
        </w:rPr>
        <w:t xml:space="preserve"> content of this message is intended for public health and health care personnel and response partners who have a need to know the information to perform their duties.</w:t>
      </w:r>
    </w:p>
    <w:sectPr w:rsidR="0019411C" w:rsidRPr="00EC1BBE" w:rsidSect="003A1649">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A6" w:rsidRDefault="00442BA6" w:rsidP="00442BA6">
      <w:r>
        <w:separator/>
      </w:r>
    </w:p>
  </w:endnote>
  <w:endnote w:type="continuationSeparator" w:id="0">
    <w:p w:rsidR="00442BA6" w:rsidRDefault="00442BA6" w:rsidP="004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442BA6">
        <w:r w:rsidRPr="000F7548">
          <w:fldChar w:fldCharType="begin"/>
        </w:r>
        <w:r w:rsidRPr="000F7548">
          <w:instrText xml:space="preserve"> PAGE   \* MERGEFORMAT </w:instrText>
        </w:r>
        <w:r w:rsidRPr="000F7548">
          <w:fldChar w:fldCharType="separate"/>
        </w:r>
        <w:r w:rsidR="00A95B87">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A6" w:rsidRDefault="00442BA6" w:rsidP="00442BA6">
      <w:r>
        <w:separator/>
      </w:r>
    </w:p>
  </w:footnote>
  <w:footnote w:type="continuationSeparator" w:id="0">
    <w:p w:rsidR="00442BA6" w:rsidRDefault="00442BA6" w:rsidP="0044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EC1BBE" w:rsidRDefault="00EC1BBE" w:rsidP="00EC1BBE">
    <w:pPr>
      <w:pStyle w:val="Header"/>
    </w:pPr>
    <w:r w:rsidRPr="00EC1BBE">
      <w:t>Health Advisory: Shortage of Pharmaceuticals Used to Prevent and Treat Neisseria gonorrhoeae Infections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79C567A"/>
    <w:multiLevelType w:val="multilevel"/>
    <w:tmpl w:val="BE5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94EDC"/>
    <w:multiLevelType w:val="multilevel"/>
    <w:tmpl w:val="4AE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414D6AB8"/>
    <w:multiLevelType w:val="hybridMultilevel"/>
    <w:tmpl w:val="A59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8"/>
  </w:num>
  <w:num w:numId="5">
    <w:abstractNumId w:val="3"/>
  </w:num>
  <w:num w:numId="6">
    <w:abstractNumId w:val="2"/>
  </w:num>
  <w:num w:numId="7">
    <w:abstractNumId w:val="5"/>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6"/>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02"/>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1C"/>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78C"/>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928"/>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BA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B87"/>
    <w:rsid w:val="00A9687D"/>
    <w:rsid w:val="00A979F5"/>
    <w:rsid w:val="00A97D55"/>
    <w:rsid w:val="00AA00BE"/>
    <w:rsid w:val="00AA09BF"/>
    <w:rsid w:val="00AA11B6"/>
    <w:rsid w:val="00AA28EF"/>
    <w:rsid w:val="00AA2E22"/>
    <w:rsid w:val="00AA4651"/>
    <w:rsid w:val="00AA4B0A"/>
    <w:rsid w:val="00AA5377"/>
    <w:rsid w:val="00AA5493"/>
    <w:rsid w:val="00AA5B55"/>
    <w:rsid w:val="00AA5C90"/>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4865"/>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BBE"/>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2D3A"/>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665C68"/>
  <w15:docId w15:val="{6892629D-DC6D-466B-9376-94A3B40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BA6"/>
    <w:pPr>
      <w:spacing w:before="0" w:after="105"/>
    </w:pPr>
    <w:rPr>
      <w:rFonts w:eastAsia="Times New Roman" w:cs="Calibri"/>
      <w:color w:val="333333"/>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19411C"/>
    <w:pPr>
      <w:suppressAutoHyphens/>
      <w:spacing w:before="0" w:after="45" w:line="192" w:lineRule="auto"/>
      <w:outlineLvl w:val="1"/>
    </w:pPr>
    <w:rPr>
      <w:rFonts w:asciiTheme="minorHAnsi" w:eastAsiaTheme="majorEastAsia" w:hAnsiTheme="minorHAnsi" w:cstheme="minorHAnsi"/>
      <w:b/>
      <w:bCs/>
      <w:color w:val="333333"/>
      <w:spacing w:val="-10"/>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19411C"/>
    <w:rPr>
      <w:rFonts w:asciiTheme="minorHAnsi" w:eastAsiaTheme="majorEastAsia" w:hAnsiTheme="minorHAnsi" w:cstheme="minorHAnsi"/>
      <w:b/>
      <w:bCs/>
      <w:color w:val="333333"/>
      <w:spacing w:val="-10"/>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EC1BBE"/>
    <w:rPr>
      <w:color w:val="005497" w:themeColor="accent1" w:themeShade="80"/>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paragraph" w:styleId="NormalWeb">
    <w:name w:val="Normal (Web)"/>
    <w:basedOn w:val="Normal"/>
    <w:uiPriority w:val="99"/>
    <w:unhideWhenUsed/>
    <w:locked/>
    <w:rsid w:val="0019411C"/>
    <w:pPr>
      <w:spacing w:before="100" w:beforeAutospacing="1" w:after="100" w:afterAutospacing="1"/>
    </w:pPr>
    <w:rPr>
      <w:rFonts w:asciiTheme="minorHAnsi" w:hAnsiTheme="minorHAnsi" w:cs="Times New Roman"/>
      <w:szCs w:val="24"/>
    </w:rPr>
  </w:style>
  <w:style w:type="paragraph" w:customStyle="1" w:styleId="Default">
    <w:name w:val="Default"/>
    <w:rsid w:val="00EC1BBE"/>
    <w:pPr>
      <w:autoSpaceDE w:val="0"/>
      <w:autoSpaceDN w:val="0"/>
      <w:adjustRightInd w:val="0"/>
      <w:spacing w:before="0" w:after="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9939451">
      <w:bodyDiv w:val="1"/>
      <w:marLeft w:val="0"/>
      <w:marRight w:val="0"/>
      <w:marTop w:val="0"/>
      <w:marBottom w:val="0"/>
      <w:divBdr>
        <w:top w:val="none" w:sz="0" w:space="0" w:color="auto"/>
        <w:left w:val="none" w:sz="0" w:space="0" w:color="auto"/>
        <w:bottom w:val="none" w:sz="0" w:space="0" w:color="auto"/>
        <w:right w:val="none" w:sz="0" w:space="0" w:color="auto"/>
      </w:divBdr>
    </w:div>
    <w:div w:id="105731577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460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p/ha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data.fda.gov/scripts/drugshortages/default.cfm" TargetMode="External"/><Relationship Id="rId4" Type="http://schemas.openxmlformats.org/officeDocument/2006/relationships/settings" Target="settings.xml"/><Relationship Id="rId9" Type="http://schemas.openxmlformats.org/officeDocument/2006/relationships/hyperlink" Target="https://www.cdc.gov/std/tg2015/default.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D6EF134C-B5BD-4F82-8C0A-07F813F9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14</TotalTime>
  <Pages>2</Pages>
  <Words>613</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 Advisory: Shortage of Pharmaceuticals Used to Prevent and Treat Neisseria gonorrhoeae Infections</vt:lpstr>
    </vt:vector>
  </TitlesOfParts>
  <Company>Minnesota Department of Health</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Shortage of Pharmaceuticals Used to Prevent and Treat Neisseria gonorrhoeae Infections</dc:title>
  <dc:subject/>
  <dc:creator/>
  <cp:keywords/>
  <dc:description/>
  <cp:lastModifiedBy>McAdams, Toby (MDH)</cp:lastModifiedBy>
  <cp:revision>5</cp:revision>
  <cp:lastPrinted>2016-12-14T18:03:00Z</cp:lastPrinted>
  <dcterms:created xsi:type="dcterms:W3CDTF">2019-04-15T12:17:00Z</dcterms:created>
  <dcterms:modified xsi:type="dcterms:W3CDTF">2019-04-16T13:10:00Z</dcterms:modified>
</cp:coreProperties>
</file>