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CD0D" w14:textId="77777777" w:rsidR="006A3584" w:rsidRDefault="00A60D33" w:rsidP="00B61327">
      <w:pPr>
        <w:pStyle w:val="LOGO"/>
      </w:pPr>
      <w:r>
        <w:drawing>
          <wp:inline distT="0" distB="0" distL="0" distR="0" wp14:anchorId="457FFE25" wp14:editId="5A459F97">
            <wp:extent cx="2523744" cy="365760"/>
            <wp:effectExtent l="0" t="0" r="0" b="0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74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8BACB" w14:textId="7B256C6F" w:rsidR="00CD1CBA" w:rsidRDefault="00162BF5" w:rsidP="007244E1">
      <w:pPr>
        <w:pStyle w:val="Heading1"/>
      </w:pPr>
      <w:bookmarkStart w:id="0" w:name="_Appendix_B._Review"/>
      <w:bookmarkStart w:id="1" w:name="_Toc535305411"/>
      <w:bookmarkEnd w:id="0"/>
      <w:r>
        <w:t>Community</w:t>
      </w:r>
      <w:r w:rsidR="00CD1CBA">
        <w:t xml:space="preserve"> </w:t>
      </w:r>
      <w:r>
        <w:t>H</w:t>
      </w:r>
      <w:r w:rsidR="00CD1CBA">
        <w:t xml:space="preserve">ealth </w:t>
      </w:r>
      <w:r>
        <w:t>I</w:t>
      </w:r>
      <w:r w:rsidR="00CD1CBA">
        <w:t xml:space="preserve">mprovement </w:t>
      </w:r>
      <w:r w:rsidR="001C56C8">
        <w:br/>
      </w:r>
      <w:r>
        <w:t>P</w:t>
      </w:r>
      <w:r w:rsidR="00CD1CBA">
        <w:t>lan</w:t>
      </w:r>
      <w:bookmarkEnd w:id="1"/>
      <w:r w:rsidR="00CD1CBA">
        <w:t xml:space="preserve"> </w:t>
      </w:r>
      <w:r>
        <w:t>Checklist</w:t>
      </w:r>
    </w:p>
    <w:p w14:paraId="1672AB3B" w14:textId="0C4F5946" w:rsidR="00632C81" w:rsidRPr="00D863DC" w:rsidRDefault="00162BF5" w:rsidP="00D863DC">
      <w:pPr>
        <w:pStyle w:val="Clarification"/>
      </w:pPr>
      <w:r w:rsidRPr="00D863DC">
        <w:t>C</w:t>
      </w:r>
      <w:r w:rsidR="00632C81" w:rsidRPr="00D863DC">
        <w:t>haracteristic</w:t>
      </w:r>
      <w:r w:rsidRPr="00D863DC">
        <w:t>s are based on</w:t>
      </w:r>
      <w:r w:rsidR="00CD5D01" w:rsidRPr="00D863DC">
        <w:t xml:space="preserve"> </w:t>
      </w:r>
      <w:hyperlink r:id="rId9" w:history="1">
        <w:r w:rsidR="00CD5D01" w:rsidRPr="00D863DC">
          <w:rPr>
            <w:u w:val="single"/>
          </w:rPr>
          <w:t xml:space="preserve">PHAB </w:t>
        </w:r>
        <w:r w:rsidR="00D863DC" w:rsidRPr="00D863DC">
          <w:rPr>
            <w:u w:val="single"/>
          </w:rPr>
          <w:t xml:space="preserve">standards and measures </w:t>
        </w:r>
        <w:r w:rsidR="00062332" w:rsidRPr="00D863DC">
          <w:rPr>
            <w:u w:val="single"/>
          </w:rPr>
          <w:t xml:space="preserve">version </w:t>
        </w:r>
        <w:r w:rsidR="00CD5D01" w:rsidRPr="00D863DC">
          <w:rPr>
            <w:u w:val="single"/>
          </w:rPr>
          <w:t>2022</w:t>
        </w:r>
        <w:r w:rsidR="00D863DC" w:rsidRPr="00D863DC">
          <w:rPr>
            <w:rStyle w:val="Hyperlink"/>
            <w:color w:val="004E8D" w:themeColor="accent6"/>
            <w:u w:val="none"/>
          </w:rPr>
          <w:t xml:space="preserve"> (</w:t>
        </w:r>
        <w:r w:rsidR="00D863DC" w:rsidRPr="00D863DC">
          <w:rPr>
            <w:rStyle w:val="Hyperlink"/>
            <w:color w:val="004E8D" w:themeColor="accent6"/>
            <w:u w:val="none"/>
          </w:rPr>
          <w:t>https://phaboard.org/accreditation-recognition/version-2022/</w:t>
        </w:r>
        <w:r w:rsidR="00D863DC" w:rsidRPr="00D863DC">
          <w:rPr>
            <w:rStyle w:val="Hyperlink"/>
            <w:color w:val="004E8D" w:themeColor="accent6"/>
            <w:u w:val="none"/>
          </w:rPr>
          <w:t>)</w:t>
        </w:r>
      </w:hyperlink>
      <w:r w:rsidR="00D863DC" w:rsidRPr="00D863DC">
        <w:t>;</w:t>
      </w:r>
      <w:r w:rsidR="00CD5D01" w:rsidRPr="00D863DC">
        <w:t xml:space="preserve"> specific measures are</w:t>
      </w:r>
      <w:r w:rsidR="00632C81" w:rsidRPr="00D863DC">
        <w:t xml:space="preserve"> </w:t>
      </w:r>
      <w:r w:rsidR="002D012A" w:rsidRPr="00D863DC">
        <w:t xml:space="preserve">sourced </w:t>
      </w:r>
      <w:r w:rsidR="00C802D6" w:rsidRPr="00D863DC">
        <w:t xml:space="preserve">in </w:t>
      </w:r>
      <w:r w:rsidR="00CD5D01" w:rsidRPr="00D863DC">
        <w:t>the</w:t>
      </w:r>
      <w:r w:rsidR="00632C81" w:rsidRPr="00D863DC">
        <w:t xml:space="preserve"> footnote</w:t>
      </w:r>
      <w:r w:rsidR="00CD5D01" w:rsidRPr="00D863DC">
        <w:t>s</w:t>
      </w:r>
      <w:r w:rsidR="00632C81" w:rsidRPr="00D863DC">
        <w:t>.</w:t>
      </w:r>
    </w:p>
    <w:tbl>
      <w:tblPr>
        <w:tblStyle w:val="TableGridLight"/>
        <w:tblW w:w="5000" w:type="pct"/>
        <w:tblLook w:val="0420" w:firstRow="1" w:lastRow="0" w:firstColumn="0" w:lastColumn="0" w:noHBand="0" w:noVBand="1"/>
      </w:tblPr>
      <w:tblGrid>
        <w:gridCol w:w="4458"/>
        <w:gridCol w:w="1278"/>
        <w:gridCol w:w="1279"/>
        <w:gridCol w:w="3055"/>
      </w:tblGrid>
      <w:tr w:rsidR="007A21FC" w14:paraId="2D791143" w14:textId="77777777" w:rsidTr="00B25CA4">
        <w:trPr>
          <w:cantSplit/>
          <w:tblHeader/>
        </w:trPr>
        <w:tc>
          <w:tcPr>
            <w:tcW w:w="4458" w:type="dxa"/>
            <w:shd w:val="clear" w:color="auto" w:fill="B5DDFF" w:themeFill="accent6" w:themeFillTint="33"/>
            <w:vAlign w:val="bottom"/>
          </w:tcPr>
          <w:p w14:paraId="481FB3BA" w14:textId="6AAE2F61" w:rsidR="007A21FC" w:rsidRPr="00B25CA4" w:rsidRDefault="004F33FD" w:rsidP="00B25CA4">
            <w:pPr>
              <w:rPr>
                <w:b/>
                <w:bCs/>
              </w:rPr>
            </w:pPr>
            <w:r w:rsidRPr="00B25CA4">
              <w:rPr>
                <w:b/>
                <w:bCs/>
              </w:rPr>
              <w:t>Characteristic</w:t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  <w:shd w:val="clear" w:color="auto" w:fill="B5DDFF" w:themeFill="accent6" w:themeFillTint="33"/>
          </w:tcPr>
          <w:p w14:paraId="033EB061" w14:textId="75636D61" w:rsidR="007A21FC" w:rsidRPr="00B25CA4" w:rsidRDefault="00162BF5" w:rsidP="007D3000">
            <w:pPr>
              <w:jc w:val="center"/>
              <w:rPr>
                <w:b/>
                <w:bCs/>
              </w:rPr>
            </w:pPr>
            <w:r w:rsidRPr="00B25CA4">
              <w:rPr>
                <w:b/>
                <w:bCs/>
              </w:rPr>
              <w:t xml:space="preserve">Addressed on </w:t>
            </w:r>
            <w:r w:rsidR="007A21FC" w:rsidRPr="00B25CA4">
              <w:rPr>
                <w:b/>
                <w:bCs/>
              </w:rPr>
              <w:t>page(s)</w:t>
            </w: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  <w:shd w:val="clear" w:color="auto" w:fill="B5DDFF" w:themeFill="accent6" w:themeFillTint="33"/>
          </w:tcPr>
          <w:p w14:paraId="1701297F" w14:textId="21D6A048" w:rsidR="007A21FC" w:rsidRPr="00B25CA4" w:rsidRDefault="007A21FC" w:rsidP="007D3000">
            <w:pPr>
              <w:jc w:val="center"/>
              <w:rPr>
                <w:b/>
                <w:bCs/>
              </w:rPr>
            </w:pPr>
            <w:r w:rsidRPr="00B25CA4">
              <w:rPr>
                <w:b/>
                <w:bCs/>
              </w:rPr>
              <w:t xml:space="preserve">Not </w:t>
            </w:r>
            <w:r w:rsidR="00162BF5" w:rsidRPr="00B25CA4">
              <w:rPr>
                <w:b/>
                <w:bCs/>
              </w:rPr>
              <w:t>addressed</w:t>
            </w:r>
          </w:p>
        </w:tc>
        <w:tc>
          <w:tcPr>
            <w:tcW w:w="3055" w:type="dxa"/>
            <w:shd w:val="clear" w:color="auto" w:fill="B5DDFF" w:themeFill="accent6" w:themeFillTint="33"/>
            <w:vAlign w:val="bottom"/>
          </w:tcPr>
          <w:p w14:paraId="22A19FB8" w14:textId="77777777" w:rsidR="007A21FC" w:rsidRPr="00B25CA4" w:rsidRDefault="007A21FC" w:rsidP="00B25CA4">
            <w:pPr>
              <w:rPr>
                <w:b/>
                <w:bCs/>
              </w:rPr>
            </w:pPr>
            <w:r w:rsidRPr="00B25CA4">
              <w:rPr>
                <w:b/>
                <w:bCs/>
              </w:rPr>
              <w:t>Notes</w:t>
            </w:r>
          </w:p>
        </w:tc>
      </w:tr>
      <w:tr w:rsidR="0000122F" w:rsidRPr="0021118D" w14:paraId="5E292956" w14:textId="77777777" w:rsidTr="00B25CA4">
        <w:trPr>
          <w:cantSplit/>
          <w:trHeight w:val="215"/>
        </w:trPr>
        <w:tc>
          <w:tcPr>
            <w:tcW w:w="10070" w:type="dxa"/>
            <w:gridSpan w:val="4"/>
          </w:tcPr>
          <w:p w14:paraId="09535D26" w14:textId="48D363B9" w:rsidR="0000122F" w:rsidRPr="0021118D" w:rsidRDefault="0000122F" w:rsidP="00B25CA4">
            <w:pPr>
              <w:pStyle w:val="Heading2"/>
            </w:pPr>
            <w:r w:rsidRPr="00B25CA4">
              <w:t>Plan</w:t>
            </w:r>
            <w:r w:rsidRPr="0021118D">
              <w:t xml:space="preserve"> </w:t>
            </w:r>
            <w:r w:rsidR="0027223B" w:rsidRPr="0021118D">
              <w:t>D</w:t>
            </w:r>
            <w:r w:rsidRPr="0021118D">
              <w:t>ate</w:t>
            </w:r>
          </w:p>
        </w:tc>
      </w:tr>
      <w:tr w:rsidR="007A21FC" w14:paraId="7B558200" w14:textId="77777777" w:rsidTr="00B25CA4">
        <w:trPr>
          <w:cantSplit/>
        </w:trPr>
        <w:tc>
          <w:tcPr>
            <w:tcW w:w="4458" w:type="dxa"/>
          </w:tcPr>
          <w:p w14:paraId="189812C1" w14:textId="77777777" w:rsidR="009A29C7" w:rsidRPr="00CD3478" w:rsidRDefault="007A21FC" w:rsidP="009A29C7">
            <w:pPr>
              <w:rPr>
                <w:highlight w:val="yellow"/>
              </w:rPr>
            </w:pPr>
            <w:r w:rsidRPr="006B3AEA">
              <w:t>Dated within past five years</w:t>
            </w:r>
            <w:r w:rsidRPr="006B3AEA">
              <w:rPr>
                <w:rStyle w:val="FootnoteReference"/>
              </w:rPr>
              <w:footnoteReference w:id="1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1D1440AB" w14:textId="77777777" w:rsidR="007A21FC" w:rsidRDefault="007A21FC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2D01AFB2" w14:textId="56393858" w:rsidR="007A21FC" w:rsidRDefault="007A21FC" w:rsidP="007D3000">
            <w:pPr>
              <w:jc w:val="center"/>
            </w:pPr>
          </w:p>
        </w:tc>
        <w:tc>
          <w:tcPr>
            <w:tcW w:w="3055" w:type="dxa"/>
          </w:tcPr>
          <w:p w14:paraId="34BE15C2" w14:textId="77777777" w:rsidR="007A21FC" w:rsidRDefault="007A21FC" w:rsidP="00AB708B"/>
        </w:tc>
      </w:tr>
      <w:tr w:rsidR="00334D54" w14:paraId="316F750B" w14:textId="77777777" w:rsidTr="00B25CA4">
        <w:trPr>
          <w:cantSplit/>
        </w:trPr>
        <w:tc>
          <w:tcPr>
            <w:tcW w:w="10070" w:type="dxa"/>
            <w:gridSpan w:val="4"/>
          </w:tcPr>
          <w:p w14:paraId="513D22DE" w14:textId="5008E0BC" w:rsidR="00334D54" w:rsidRPr="00334D54" w:rsidRDefault="00334D54" w:rsidP="00B25CA4">
            <w:pPr>
              <w:pStyle w:val="Heading2"/>
            </w:pPr>
            <w:r w:rsidRPr="00334D54">
              <w:t>Process</w:t>
            </w:r>
          </w:p>
        </w:tc>
      </w:tr>
      <w:tr w:rsidR="007A21FC" w14:paraId="3F43CA75" w14:textId="77777777" w:rsidTr="00B25CA4">
        <w:trPr>
          <w:cantSplit/>
        </w:trPr>
        <w:tc>
          <w:tcPr>
            <w:tcW w:w="4458" w:type="dxa"/>
          </w:tcPr>
          <w:p w14:paraId="3C6FC113" w14:textId="33300D04" w:rsidR="007A21FC" w:rsidRPr="00900006" w:rsidRDefault="00CD5D01" w:rsidP="00AB708B">
            <w:r>
              <w:rPr>
                <w:rFonts w:cs="Times New Roman"/>
              </w:rPr>
              <w:t>I</w:t>
            </w:r>
            <w:r w:rsidR="007F16CF" w:rsidRPr="00900006">
              <w:rPr>
                <w:rFonts w:cs="Times New Roman"/>
              </w:rPr>
              <w:t>ncludes</w:t>
            </w:r>
            <w:r w:rsidR="003155A1">
              <w:rPr>
                <w:rFonts w:cs="Times New Roman"/>
              </w:rPr>
              <w:t xml:space="preserve"> engagement of</w:t>
            </w:r>
            <w:r w:rsidR="007F16CF" w:rsidRPr="00900006">
              <w:rPr>
                <w:rFonts w:cs="Times New Roman"/>
              </w:rPr>
              <w:t xml:space="preserve"> at least </w:t>
            </w:r>
            <w:r w:rsidR="00D863DC">
              <w:rPr>
                <w:rFonts w:cs="Times New Roman"/>
              </w:rPr>
              <w:t>two</w:t>
            </w:r>
            <w:r w:rsidR="007F16CF" w:rsidRPr="00900006">
              <w:rPr>
                <w:rFonts w:cs="Times New Roman"/>
              </w:rPr>
              <w:t xml:space="preserve"> organizations</w:t>
            </w:r>
            <w:r w:rsidR="00F626D7">
              <w:rPr>
                <w:rFonts w:cs="Times New Roman"/>
              </w:rPr>
              <w:t xml:space="preserve"> </w:t>
            </w:r>
            <w:r w:rsidR="007F16CF" w:rsidRPr="00900006">
              <w:rPr>
                <w:rFonts w:cs="Times New Roman"/>
              </w:rPr>
              <w:t>representing sectors other than public health</w:t>
            </w:r>
            <w:r w:rsidR="00F626D7" w:rsidRPr="00900006">
              <w:rPr>
                <w:rFonts w:cs="Times New Roman"/>
                <w:vertAlign w:val="superscript"/>
              </w:rPr>
              <w:footnoteReference w:id="2"/>
            </w:r>
            <w:r w:rsidR="00F626D7" w:rsidRPr="00900006">
              <w:rPr>
                <w:rFonts w:cs="Times New Roman"/>
              </w:rPr>
              <w:t xml:space="preserve"> </w:t>
            </w:r>
            <w:r w:rsidR="007F16CF" w:rsidRPr="00900006">
              <w:rPr>
                <w:rFonts w:cs="Times New Roman"/>
              </w:rPr>
              <w:t xml:space="preserve"> </w:t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264EBE0F" w14:textId="77777777" w:rsidR="007A21FC" w:rsidRPr="00900006" w:rsidRDefault="007A21FC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35DE1C38" w14:textId="6C337DFA" w:rsidR="007A21FC" w:rsidRDefault="007A21FC" w:rsidP="007D3000">
            <w:pPr>
              <w:jc w:val="center"/>
            </w:pPr>
          </w:p>
        </w:tc>
        <w:tc>
          <w:tcPr>
            <w:tcW w:w="3055" w:type="dxa"/>
          </w:tcPr>
          <w:p w14:paraId="24ED50DC" w14:textId="77777777" w:rsidR="007A21FC" w:rsidRDefault="007A21FC" w:rsidP="00AB708B"/>
        </w:tc>
      </w:tr>
      <w:tr w:rsidR="0034468D" w14:paraId="2ED9AD4A" w14:textId="77777777" w:rsidTr="00B25CA4">
        <w:trPr>
          <w:cantSplit/>
        </w:trPr>
        <w:tc>
          <w:tcPr>
            <w:tcW w:w="4458" w:type="dxa"/>
          </w:tcPr>
          <w:p w14:paraId="758BD8CE" w14:textId="477882E4" w:rsidR="0034468D" w:rsidRDefault="0034468D" w:rsidP="00AB708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Includes </w:t>
            </w:r>
            <w:r w:rsidRPr="0034468D">
              <w:rPr>
                <w:rFonts w:cs="Times New Roman"/>
              </w:rPr>
              <w:t xml:space="preserve">at least </w:t>
            </w:r>
            <w:r w:rsidR="00D863DC">
              <w:rPr>
                <w:rFonts w:cs="Times New Roman"/>
              </w:rPr>
              <w:t>two</w:t>
            </w:r>
            <w:r w:rsidRPr="0034468D">
              <w:rPr>
                <w:rFonts w:cs="Times New Roman"/>
              </w:rPr>
              <w:t xml:space="preserve"> community members or organizations that represent populations disproportionately affected by conditions that contribute to health risks or poorer health outcomes</w:t>
            </w:r>
            <w:r w:rsidRPr="00900006">
              <w:rPr>
                <w:rFonts w:cs="Times New Roman"/>
                <w:vertAlign w:val="superscript"/>
              </w:rPr>
              <w:footnoteReference w:id="3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11094F2D" w14:textId="77777777" w:rsidR="0034468D" w:rsidRPr="00900006" w:rsidRDefault="0034468D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2D2F1A09" w14:textId="0E74E33F" w:rsidR="0034468D" w:rsidRDefault="0034468D" w:rsidP="007D3000">
            <w:pPr>
              <w:jc w:val="center"/>
            </w:pPr>
          </w:p>
        </w:tc>
        <w:tc>
          <w:tcPr>
            <w:tcW w:w="3055" w:type="dxa"/>
          </w:tcPr>
          <w:p w14:paraId="030696F3" w14:textId="77777777" w:rsidR="0034468D" w:rsidRDefault="0034468D" w:rsidP="00AB708B"/>
        </w:tc>
      </w:tr>
      <w:tr w:rsidR="00594D59" w14:paraId="4A4DE2A1" w14:textId="77777777" w:rsidTr="00B25CA4">
        <w:trPr>
          <w:cantSplit/>
        </w:trPr>
        <w:tc>
          <w:tcPr>
            <w:tcW w:w="4458" w:type="dxa"/>
          </w:tcPr>
          <w:p w14:paraId="26BACFBC" w14:textId="2C9A0B65" w:rsidR="00594D59" w:rsidRPr="00900006" w:rsidRDefault="0034468D" w:rsidP="00594D59">
            <w:r>
              <w:rPr>
                <w:rFonts w:cs="Times New Roman"/>
              </w:rPr>
              <w:t>References</w:t>
            </w:r>
            <w:r w:rsidR="000373D8">
              <w:rPr>
                <w:rFonts w:cs="Times New Roman"/>
              </w:rPr>
              <w:t xml:space="preserve"> information from the</w:t>
            </w:r>
            <w:r w:rsidR="007F16CF" w:rsidRPr="00900006">
              <w:rPr>
                <w:rFonts w:cs="Times New Roman"/>
              </w:rPr>
              <w:t xml:space="preserve"> community health assessment</w:t>
            </w:r>
            <w:r w:rsidR="007F16CF" w:rsidRPr="00900006">
              <w:rPr>
                <w:rFonts w:cs="Times New Roman"/>
                <w:vertAlign w:val="superscript"/>
              </w:rPr>
              <w:footnoteReference w:id="4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67C021FB" w14:textId="77777777" w:rsidR="00594D59" w:rsidRPr="00900006" w:rsidRDefault="00594D59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50E48D59" w14:textId="353EB271" w:rsidR="00594D59" w:rsidRDefault="00594D59" w:rsidP="007D3000">
            <w:pPr>
              <w:jc w:val="center"/>
            </w:pPr>
          </w:p>
        </w:tc>
        <w:tc>
          <w:tcPr>
            <w:tcW w:w="3055" w:type="dxa"/>
          </w:tcPr>
          <w:p w14:paraId="6B0F7023" w14:textId="77777777" w:rsidR="00594D59" w:rsidRDefault="00594D59" w:rsidP="00AB708B"/>
        </w:tc>
      </w:tr>
      <w:tr w:rsidR="00594D59" w14:paraId="16CEB347" w14:textId="77777777" w:rsidTr="00B25CA4">
        <w:trPr>
          <w:cantSplit/>
        </w:trPr>
        <w:tc>
          <w:tcPr>
            <w:tcW w:w="4458" w:type="dxa"/>
          </w:tcPr>
          <w:p w14:paraId="28FC1454" w14:textId="5A487D4E" w:rsidR="00594D59" w:rsidRPr="00796542" w:rsidRDefault="00796542" w:rsidP="00594D59">
            <w:pPr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R</w:t>
            </w:r>
            <w:r w:rsidRPr="00796542">
              <w:rPr>
                <w:rFonts w:cs="Times New Roman"/>
              </w:rPr>
              <w:t>eview</w:t>
            </w:r>
            <w:r w:rsidR="0034468D">
              <w:rPr>
                <w:rFonts w:cs="Times New Roman"/>
              </w:rPr>
              <w:t>s</w:t>
            </w:r>
            <w:r w:rsidRPr="00796542">
              <w:rPr>
                <w:rFonts w:cs="Times New Roman"/>
              </w:rPr>
              <w:t xml:space="preserve"> social determinants of health</w:t>
            </w:r>
            <w:r>
              <w:rPr>
                <w:rFonts w:cs="Times New Roman"/>
              </w:rPr>
              <w:t xml:space="preserve"> to </w:t>
            </w:r>
            <w:r w:rsidRPr="00796542">
              <w:rPr>
                <w:rFonts w:cs="Times New Roman"/>
              </w:rPr>
              <w:t xml:space="preserve">determine which </w:t>
            </w:r>
            <w:r w:rsidR="0034468D">
              <w:rPr>
                <w:rFonts w:cs="Times New Roman"/>
              </w:rPr>
              <w:t xml:space="preserve">health equity-related </w:t>
            </w:r>
            <w:r w:rsidRPr="00796542">
              <w:rPr>
                <w:rFonts w:cs="Times New Roman"/>
              </w:rPr>
              <w:t xml:space="preserve">strategies to integrate into the </w:t>
            </w:r>
            <w:r w:rsidR="002610F7">
              <w:rPr>
                <w:rFonts w:cs="Times New Roman"/>
              </w:rPr>
              <w:t>community health improvement plan</w:t>
            </w:r>
            <w:r w:rsidR="007F16CF" w:rsidRPr="00796542">
              <w:rPr>
                <w:rFonts w:cs="Times New Roman"/>
                <w:vertAlign w:val="superscript"/>
              </w:rPr>
              <w:footnoteReference w:id="5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69A4AC2F" w14:textId="77777777" w:rsidR="00594D59" w:rsidRPr="00900006" w:rsidRDefault="00594D59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6D6E86D3" w14:textId="415068A0" w:rsidR="00594D59" w:rsidRDefault="00594D59" w:rsidP="007D3000">
            <w:pPr>
              <w:jc w:val="center"/>
            </w:pPr>
          </w:p>
        </w:tc>
        <w:tc>
          <w:tcPr>
            <w:tcW w:w="3055" w:type="dxa"/>
          </w:tcPr>
          <w:p w14:paraId="4437413E" w14:textId="77777777" w:rsidR="00594D59" w:rsidRDefault="00594D59" w:rsidP="00AB708B"/>
        </w:tc>
      </w:tr>
      <w:tr w:rsidR="00594D59" w14:paraId="2FE221B1" w14:textId="77777777" w:rsidTr="00B25CA4">
        <w:trPr>
          <w:cantSplit/>
        </w:trPr>
        <w:tc>
          <w:tcPr>
            <w:tcW w:w="4458" w:type="dxa"/>
          </w:tcPr>
          <w:p w14:paraId="12C076C6" w14:textId="76C4A818" w:rsidR="00594D59" w:rsidRPr="00900006" w:rsidRDefault="000373D8" w:rsidP="00AB708B">
            <w:r>
              <w:rPr>
                <w:rFonts w:cs="Times New Roman"/>
              </w:rPr>
              <w:t>Describes the steps</w:t>
            </w:r>
            <w:r w:rsidR="0034468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tools</w:t>
            </w:r>
            <w:r w:rsidR="0034468D">
              <w:rPr>
                <w:rFonts w:cs="Times New Roman"/>
              </w:rPr>
              <w:t xml:space="preserve"> or method</w:t>
            </w:r>
            <w:r>
              <w:rPr>
                <w:rFonts w:cs="Times New Roman"/>
              </w:rPr>
              <w:t xml:space="preserve"> used in selecting </w:t>
            </w:r>
            <w:r w:rsidR="007F16CF" w:rsidRPr="00900006">
              <w:rPr>
                <w:rFonts w:cs="Times New Roman"/>
              </w:rPr>
              <w:t>health priorities</w:t>
            </w:r>
            <w:r w:rsidR="007F16CF" w:rsidRPr="00900006">
              <w:rPr>
                <w:rFonts w:cs="Times New Roman"/>
                <w:vertAlign w:val="superscript"/>
              </w:rPr>
              <w:footnoteReference w:id="6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7C994472" w14:textId="77777777" w:rsidR="00594D59" w:rsidRPr="00900006" w:rsidRDefault="00594D59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1EE3C44C" w14:textId="44CA9838" w:rsidR="00594D59" w:rsidRDefault="00594D59" w:rsidP="007D3000">
            <w:pPr>
              <w:jc w:val="center"/>
            </w:pPr>
          </w:p>
        </w:tc>
        <w:tc>
          <w:tcPr>
            <w:tcW w:w="3055" w:type="dxa"/>
          </w:tcPr>
          <w:p w14:paraId="22EE6D41" w14:textId="77777777" w:rsidR="00594D59" w:rsidRDefault="00594D59" w:rsidP="00AB708B"/>
        </w:tc>
      </w:tr>
      <w:tr w:rsidR="0000122F" w14:paraId="6982F1E9" w14:textId="77777777" w:rsidTr="00B25CA4">
        <w:trPr>
          <w:cantSplit/>
        </w:trPr>
        <w:tc>
          <w:tcPr>
            <w:tcW w:w="10070" w:type="dxa"/>
            <w:gridSpan w:val="4"/>
          </w:tcPr>
          <w:p w14:paraId="1276901A" w14:textId="377E1896" w:rsidR="0000122F" w:rsidRPr="00900006" w:rsidRDefault="0000122F" w:rsidP="00B25CA4">
            <w:pPr>
              <w:pStyle w:val="Heading2"/>
            </w:pPr>
            <w:r w:rsidRPr="00900006">
              <w:lastRenderedPageBreak/>
              <w:t>Plan</w:t>
            </w:r>
          </w:p>
        </w:tc>
      </w:tr>
      <w:tr w:rsidR="00594D59" w14:paraId="798163B2" w14:textId="77777777" w:rsidTr="00B25CA4">
        <w:trPr>
          <w:cantSplit/>
        </w:trPr>
        <w:tc>
          <w:tcPr>
            <w:tcW w:w="4458" w:type="dxa"/>
          </w:tcPr>
          <w:p w14:paraId="11335D4B" w14:textId="1E8D6690" w:rsidR="00594D59" w:rsidRPr="00900006" w:rsidRDefault="007F16CF" w:rsidP="00AB708B">
            <w:r w:rsidRPr="00900006">
              <w:rPr>
                <w:rFonts w:cs="Times New Roman"/>
              </w:rPr>
              <w:t>Includes at least two health priorities</w:t>
            </w:r>
            <w:r w:rsidRPr="00900006">
              <w:rPr>
                <w:rFonts w:cs="Times New Roman"/>
                <w:vertAlign w:val="superscript"/>
              </w:rPr>
              <w:footnoteReference w:id="7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7A8EBF7D" w14:textId="77777777" w:rsidR="00594D59" w:rsidRPr="00900006" w:rsidRDefault="00594D59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515515EC" w14:textId="0815B114" w:rsidR="00594D59" w:rsidRDefault="00594D59" w:rsidP="007D3000">
            <w:pPr>
              <w:jc w:val="center"/>
            </w:pPr>
          </w:p>
        </w:tc>
        <w:tc>
          <w:tcPr>
            <w:tcW w:w="3055" w:type="dxa"/>
          </w:tcPr>
          <w:p w14:paraId="4836CDC9" w14:textId="77777777" w:rsidR="00594D59" w:rsidRDefault="00594D59" w:rsidP="00AB708B"/>
        </w:tc>
      </w:tr>
      <w:tr w:rsidR="00B25CA4" w14:paraId="62F2AEA1" w14:textId="77777777" w:rsidTr="00B25CA4">
        <w:trPr>
          <w:cantSplit/>
        </w:trPr>
        <w:tc>
          <w:tcPr>
            <w:tcW w:w="4458" w:type="dxa"/>
          </w:tcPr>
          <w:p w14:paraId="58E1311C" w14:textId="2848B00E" w:rsidR="009F69EA" w:rsidRPr="00900006" w:rsidRDefault="007F16CF" w:rsidP="00AB708B">
            <w:r w:rsidRPr="00900006">
              <w:rPr>
                <w:rFonts w:cs="Times New Roman"/>
              </w:rPr>
              <w:t>Includes measurable objective(s) for each health priority</w:t>
            </w:r>
            <w:r w:rsidR="00140393">
              <w:rPr>
                <w:rFonts w:cs="Times New Roman"/>
              </w:rPr>
              <w:t xml:space="preserve"> to determine if progress is being made towards addressing each priority</w:t>
            </w:r>
            <w:r w:rsidRPr="00900006">
              <w:rPr>
                <w:rFonts w:cs="Times New Roman"/>
                <w:vertAlign w:val="superscript"/>
              </w:rPr>
              <w:footnoteReference w:id="8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5225D843" w14:textId="77777777" w:rsidR="009F69EA" w:rsidRPr="00900006" w:rsidRDefault="009F69EA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10E65B0F" w14:textId="2573F3E7" w:rsidR="009F69EA" w:rsidRDefault="009F69EA" w:rsidP="007D3000">
            <w:pPr>
              <w:jc w:val="center"/>
            </w:pPr>
          </w:p>
        </w:tc>
        <w:tc>
          <w:tcPr>
            <w:tcW w:w="3055" w:type="dxa"/>
          </w:tcPr>
          <w:p w14:paraId="70400452" w14:textId="77777777" w:rsidR="009F69EA" w:rsidRDefault="009F69EA" w:rsidP="00AB708B"/>
        </w:tc>
      </w:tr>
      <w:tr w:rsidR="009F69EA" w14:paraId="6F9E7C11" w14:textId="77777777" w:rsidTr="00B25CA4">
        <w:trPr>
          <w:cantSplit/>
        </w:trPr>
        <w:tc>
          <w:tcPr>
            <w:tcW w:w="4458" w:type="dxa"/>
          </w:tcPr>
          <w:p w14:paraId="1322459C" w14:textId="2D6C2B99" w:rsidR="009F69EA" w:rsidRPr="00900006" w:rsidRDefault="007F16CF" w:rsidP="00AB708B">
            <w:r w:rsidRPr="00900006">
              <w:rPr>
                <w:rFonts w:cs="Times New Roman"/>
              </w:rPr>
              <w:t>Includes improvement strategy(</w:t>
            </w:r>
            <w:proofErr w:type="spellStart"/>
            <w:r w:rsidRPr="00900006">
              <w:rPr>
                <w:rFonts w:cs="Times New Roman"/>
              </w:rPr>
              <w:t>ies</w:t>
            </w:r>
            <w:proofErr w:type="spellEnd"/>
            <w:r w:rsidRPr="00900006">
              <w:rPr>
                <w:rFonts w:cs="Times New Roman"/>
              </w:rPr>
              <w:t>) or activity(</w:t>
            </w:r>
            <w:proofErr w:type="spellStart"/>
            <w:r w:rsidRPr="00900006">
              <w:rPr>
                <w:rFonts w:cs="Times New Roman"/>
              </w:rPr>
              <w:t>ies</w:t>
            </w:r>
            <w:proofErr w:type="spellEnd"/>
            <w:r w:rsidRPr="00900006">
              <w:rPr>
                <w:rFonts w:cs="Times New Roman"/>
              </w:rPr>
              <w:t>) with a timeframe and responsible party for each priority</w:t>
            </w:r>
            <w:r w:rsidRPr="00900006">
              <w:rPr>
                <w:rFonts w:cs="Times New Roman"/>
                <w:vertAlign w:val="superscript"/>
              </w:rPr>
              <w:footnoteReference w:id="9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24D53376" w14:textId="77777777" w:rsidR="009F69EA" w:rsidRPr="00900006" w:rsidRDefault="009F69EA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2223FBC7" w14:textId="73A89549" w:rsidR="009F69EA" w:rsidRDefault="009F69EA" w:rsidP="007D3000">
            <w:pPr>
              <w:jc w:val="center"/>
            </w:pPr>
          </w:p>
        </w:tc>
        <w:tc>
          <w:tcPr>
            <w:tcW w:w="3055" w:type="dxa"/>
          </w:tcPr>
          <w:p w14:paraId="597EC6D3" w14:textId="77777777" w:rsidR="009F69EA" w:rsidRDefault="009F69EA" w:rsidP="00AB708B"/>
        </w:tc>
      </w:tr>
      <w:tr w:rsidR="00B25CA4" w14:paraId="278D451E" w14:textId="77777777" w:rsidTr="00B25CA4">
        <w:trPr>
          <w:cantSplit/>
        </w:trPr>
        <w:tc>
          <w:tcPr>
            <w:tcW w:w="4458" w:type="dxa"/>
          </w:tcPr>
          <w:p w14:paraId="2E0A9C33" w14:textId="37B3380F" w:rsidR="009F69EA" w:rsidRPr="00900006" w:rsidRDefault="007F16CF" w:rsidP="00AB708B">
            <w:r w:rsidRPr="00900006">
              <w:rPr>
                <w:rFonts w:cs="Times New Roman"/>
                <w:color w:val="221E1F"/>
                <w:szCs w:val="21"/>
              </w:rPr>
              <w:t>Includes a policy recommendation for at least two of the strategies or activities. One policy must be aimed at alleviating causes of health inequities.</w:t>
            </w:r>
            <w:r w:rsidRPr="00900006">
              <w:rPr>
                <w:rStyle w:val="FootnoteReference"/>
                <w:rFonts w:cs="Times New Roman"/>
                <w:color w:val="221E1F"/>
                <w:szCs w:val="21"/>
              </w:rPr>
              <w:footnoteReference w:id="10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68172C76" w14:textId="77777777" w:rsidR="009F69EA" w:rsidRPr="00900006" w:rsidRDefault="009F69EA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5C11A633" w14:textId="1496AE47" w:rsidR="009F69EA" w:rsidRDefault="009F69EA" w:rsidP="007D3000">
            <w:pPr>
              <w:jc w:val="center"/>
            </w:pPr>
          </w:p>
        </w:tc>
        <w:tc>
          <w:tcPr>
            <w:tcW w:w="3055" w:type="dxa"/>
          </w:tcPr>
          <w:p w14:paraId="2C21CB9E" w14:textId="77777777" w:rsidR="009F69EA" w:rsidRDefault="009F69EA" w:rsidP="00AB708B"/>
        </w:tc>
      </w:tr>
      <w:tr w:rsidR="009F69EA" w14:paraId="13BFAFAA" w14:textId="77777777" w:rsidTr="00B25CA4">
        <w:trPr>
          <w:cantSplit/>
        </w:trPr>
        <w:tc>
          <w:tcPr>
            <w:tcW w:w="4458" w:type="dxa"/>
          </w:tcPr>
          <w:p w14:paraId="71A145C5" w14:textId="663061AF" w:rsidR="009F69EA" w:rsidRPr="00900006" w:rsidRDefault="007F16CF" w:rsidP="00AB708B">
            <w:r w:rsidRPr="00900006">
              <w:rPr>
                <w:rFonts w:cs="Times New Roman"/>
              </w:rPr>
              <w:t xml:space="preserve">Identifies assets or resources that will be used to address at least one </w:t>
            </w:r>
            <w:r w:rsidR="00794482">
              <w:rPr>
                <w:rFonts w:cs="Times New Roman"/>
              </w:rPr>
              <w:t>of the health priorities.</w:t>
            </w:r>
            <w:r w:rsidRPr="00900006">
              <w:rPr>
                <w:rFonts w:cs="Times New Roman"/>
                <w:vertAlign w:val="superscript"/>
              </w:rPr>
              <w:footnoteReference w:id="11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52FE8768" w14:textId="77777777" w:rsidR="009F69EA" w:rsidRPr="00900006" w:rsidRDefault="009F69EA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099D8FE7" w14:textId="2B3E6ADF" w:rsidR="009F69EA" w:rsidRDefault="009F69EA" w:rsidP="007D3000">
            <w:pPr>
              <w:jc w:val="center"/>
            </w:pPr>
          </w:p>
        </w:tc>
        <w:tc>
          <w:tcPr>
            <w:tcW w:w="3055" w:type="dxa"/>
          </w:tcPr>
          <w:p w14:paraId="7CA652B4" w14:textId="77777777" w:rsidR="009F69EA" w:rsidRDefault="009F69EA" w:rsidP="00AB708B"/>
        </w:tc>
      </w:tr>
      <w:tr w:rsidR="00B25CA4" w14:paraId="4F36FAFB" w14:textId="77777777" w:rsidTr="00B25CA4">
        <w:trPr>
          <w:cantSplit/>
        </w:trPr>
        <w:tc>
          <w:tcPr>
            <w:tcW w:w="4458" w:type="dxa"/>
          </w:tcPr>
          <w:p w14:paraId="3BC2D25E" w14:textId="1D77BC8C" w:rsidR="009F69EA" w:rsidRPr="007974D1" w:rsidRDefault="007974D1" w:rsidP="007974D1">
            <w:pPr>
              <w:rPr>
                <w:rFonts w:cs="Times New Roman"/>
              </w:rPr>
            </w:pPr>
            <w:r>
              <w:rPr>
                <w:rFonts w:cs="Times New Roman"/>
              </w:rPr>
              <w:t>Describes</w:t>
            </w:r>
            <w:r w:rsidRPr="007974D1">
              <w:rPr>
                <w:rFonts w:cs="Times New Roman"/>
              </w:rPr>
              <w:t xml:space="preserve"> the process that will be used to track the progress on </w:t>
            </w:r>
            <w:r w:rsidR="00B25CA4">
              <w:rPr>
                <w:rFonts w:cs="Times New Roman"/>
              </w:rPr>
              <w:t>community health improvement plan</w:t>
            </w:r>
            <w:r w:rsidRPr="007974D1">
              <w:rPr>
                <w:rFonts w:cs="Times New Roman"/>
              </w:rPr>
              <w:t xml:space="preserve"> strategies or</w:t>
            </w:r>
            <w:r>
              <w:rPr>
                <w:rFonts w:cs="Times New Roman"/>
              </w:rPr>
              <w:t xml:space="preserve"> a</w:t>
            </w:r>
            <w:r w:rsidRPr="007974D1">
              <w:rPr>
                <w:rFonts w:cs="Times New Roman"/>
              </w:rPr>
              <w:t>ctivities</w:t>
            </w:r>
            <w:r>
              <w:rPr>
                <w:rFonts w:cs="Times New Roman"/>
              </w:rPr>
              <w:t>.</w:t>
            </w:r>
            <w:r w:rsidR="007F16CF" w:rsidRPr="00900006">
              <w:rPr>
                <w:rFonts w:cs="Times New Roman"/>
                <w:vertAlign w:val="superscript"/>
              </w:rPr>
              <w:footnoteReference w:id="12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3C0D302C" w14:textId="77777777" w:rsidR="009F69EA" w:rsidRPr="00900006" w:rsidRDefault="009F69EA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60FDE186" w14:textId="6C60AB6C" w:rsidR="009F69EA" w:rsidRDefault="009F69EA" w:rsidP="007D3000">
            <w:pPr>
              <w:jc w:val="center"/>
            </w:pPr>
          </w:p>
        </w:tc>
        <w:tc>
          <w:tcPr>
            <w:tcW w:w="3055" w:type="dxa"/>
          </w:tcPr>
          <w:p w14:paraId="06C1ADD8" w14:textId="77777777" w:rsidR="009F69EA" w:rsidRDefault="009F69EA" w:rsidP="00AB708B"/>
        </w:tc>
      </w:tr>
      <w:tr w:rsidR="0027223B" w14:paraId="4C85E90A" w14:textId="77777777" w:rsidTr="00B25CA4">
        <w:trPr>
          <w:cantSplit/>
        </w:trPr>
        <w:tc>
          <w:tcPr>
            <w:tcW w:w="10070" w:type="dxa"/>
            <w:gridSpan w:val="4"/>
          </w:tcPr>
          <w:p w14:paraId="27F06600" w14:textId="33294B7E" w:rsidR="0027223B" w:rsidRPr="0027223B" w:rsidRDefault="0027223B" w:rsidP="00B25CA4">
            <w:pPr>
              <w:pStyle w:val="Heading2"/>
            </w:pPr>
            <w:r w:rsidRPr="0027223B">
              <w:t>Health Equity</w:t>
            </w:r>
          </w:p>
        </w:tc>
      </w:tr>
      <w:tr w:rsidR="00B25CA4" w14:paraId="1E42F95A" w14:textId="77777777" w:rsidTr="00B25CA4">
        <w:trPr>
          <w:cantSplit/>
        </w:trPr>
        <w:tc>
          <w:tcPr>
            <w:tcW w:w="4458" w:type="dxa"/>
          </w:tcPr>
          <w:p w14:paraId="468B34AB" w14:textId="4B05C308" w:rsidR="0027223B" w:rsidRPr="00900006" w:rsidRDefault="002A1F53" w:rsidP="00AB708B">
            <w:pPr>
              <w:rPr>
                <w:rFonts w:cs="Times New Roman"/>
              </w:rPr>
            </w:pPr>
            <w:r>
              <w:rPr>
                <w:rFonts w:cs="Times New Roman"/>
              </w:rPr>
              <w:t>Includes a</w:t>
            </w:r>
            <w:r w:rsidR="0067735A">
              <w:rPr>
                <w:rFonts w:cs="Times New Roman"/>
              </w:rPr>
              <w:t xml:space="preserve">t least one </w:t>
            </w:r>
            <w:r>
              <w:rPr>
                <w:rFonts w:cs="Times New Roman"/>
              </w:rPr>
              <w:t xml:space="preserve">policy or procedure that </w:t>
            </w:r>
            <w:r w:rsidR="00EE59EC">
              <w:rPr>
                <w:rFonts w:cs="Times New Roman"/>
              </w:rPr>
              <w:t xml:space="preserve">illustrates how health equity is included as a goal in program development. </w:t>
            </w:r>
            <w:r w:rsidR="00B50717">
              <w:rPr>
                <w:rStyle w:val="FootnoteReference"/>
                <w:rFonts w:cs="Times New Roman"/>
              </w:rPr>
              <w:footnoteReference w:id="13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65706CB8" w14:textId="77777777" w:rsidR="0027223B" w:rsidRPr="00900006" w:rsidRDefault="0027223B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2507BE90" w14:textId="539D4B83" w:rsidR="0027223B" w:rsidRDefault="0027223B" w:rsidP="007D3000">
            <w:pPr>
              <w:jc w:val="center"/>
            </w:pPr>
          </w:p>
        </w:tc>
        <w:tc>
          <w:tcPr>
            <w:tcW w:w="3055" w:type="dxa"/>
          </w:tcPr>
          <w:p w14:paraId="35266D7C" w14:textId="77777777" w:rsidR="0027223B" w:rsidRDefault="0027223B" w:rsidP="00AB708B"/>
        </w:tc>
      </w:tr>
      <w:tr w:rsidR="0027223B" w14:paraId="7E907973" w14:textId="77777777" w:rsidTr="00B25CA4">
        <w:trPr>
          <w:cantSplit/>
        </w:trPr>
        <w:tc>
          <w:tcPr>
            <w:tcW w:w="4458" w:type="dxa"/>
          </w:tcPr>
          <w:p w14:paraId="77AA6DCC" w14:textId="53C576B4" w:rsidR="0027223B" w:rsidRPr="00900006" w:rsidRDefault="00C2603A" w:rsidP="00AB708B">
            <w:pPr>
              <w:rPr>
                <w:rFonts w:cs="Times New Roman"/>
              </w:rPr>
            </w:pPr>
            <w:r>
              <w:rPr>
                <w:rFonts w:cs="Times New Roman"/>
              </w:rPr>
              <w:t>Includes o</w:t>
            </w:r>
            <w:r w:rsidR="0067735A">
              <w:rPr>
                <w:rFonts w:cs="Times New Roman"/>
              </w:rPr>
              <w:t xml:space="preserve">ne example of a strategy implemented </w:t>
            </w:r>
            <w:r w:rsidR="00B50717">
              <w:rPr>
                <w:rFonts w:cs="Times New Roman"/>
              </w:rPr>
              <w:t xml:space="preserve">in collaboration with stakeholders </w:t>
            </w:r>
            <w:r w:rsidR="0067735A">
              <w:rPr>
                <w:rFonts w:cs="Times New Roman"/>
              </w:rPr>
              <w:t xml:space="preserve">to address factors that contribute to </w:t>
            </w:r>
            <w:r w:rsidR="00B50717">
              <w:rPr>
                <w:rFonts w:cs="Times New Roman"/>
              </w:rPr>
              <w:t xml:space="preserve">a </w:t>
            </w:r>
            <w:r w:rsidR="0067735A">
              <w:rPr>
                <w:rFonts w:cs="Times New Roman"/>
              </w:rPr>
              <w:t>specific populations’ higher health risks and poorer health outcomes, or inequities</w:t>
            </w:r>
            <w:r w:rsidR="00B50717">
              <w:rPr>
                <w:rFonts w:cs="Times New Roman"/>
              </w:rPr>
              <w:t>.</w:t>
            </w:r>
            <w:r w:rsidR="00B50717">
              <w:rPr>
                <w:rStyle w:val="FootnoteReference"/>
                <w:rFonts w:cs="Times New Roman"/>
              </w:rPr>
              <w:footnoteReference w:id="14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6043332D" w14:textId="77777777" w:rsidR="0027223B" w:rsidRPr="00900006" w:rsidRDefault="0027223B" w:rsidP="007D3000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0D0F4029" w14:textId="5466D567" w:rsidR="0027223B" w:rsidRDefault="0027223B" w:rsidP="007D3000">
            <w:pPr>
              <w:jc w:val="center"/>
            </w:pPr>
          </w:p>
        </w:tc>
        <w:tc>
          <w:tcPr>
            <w:tcW w:w="3055" w:type="dxa"/>
          </w:tcPr>
          <w:p w14:paraId="1D1D0D35" w14:textId="77777777" w:rsidR="0027223B" w:rsidRDefault="0027223B" w:rsidP="00AB708B"/>
        </w:tc>
      </w:tr>
      <w:tr w:rsidR="00EB2CBE" w:rsidRPr="00900006" w14:paraId="5F0BACB0" w14:textId="77777777" w:rsidTr="00B25CA4">
        <w:trPr>
          <w:cantSplit/>
        </w:trPr>
        <w:tc>
          <w:tcPr>
            <w:tcW w:w="10070" w:type="dxa"/>
            <w:gridSpan w:val="4"/>
          </w:tcPr>
          <w:p w14:paraId="72ED20FB" w14:textId="77777777" w:rsidR="00EB2CBE" w:rsidRDefault="00EB2CBE" w:rsidP="00B25CA4">
            <w:pPr>
              <w:pStyle w:val="Heading2"/>
              <w:rPr>
                <w:rFonts w:eastAsia="Times New Roman"/>
              </w:rPr>
            </w:pPr>
            <w:r w:rsidRPr="00D863DC">
              <w:lastRenderedPageBreak/>
              <w:t>Monitoring and Revisi</w:t>
            </w:r>
            <w:r w:rsidRPr="00D863DC">
              <w:rPr>
                <w:rFonts w:eastAsia="Times New Roman"/>
              </w:rPr>
              <w:t>ng</w:t>
            </w:r>
          </w:p>
          <w:p w14:paraId="3E97C274" w14:textId="3C312151" w:rsidR="0021118D" w:rsidRPr="0021118D" w:rsidRDefault="0021118D" w:rsidP="00B25CA4">
            <w:pPr>
              <w:pStyle w:val="Clarification"/>
            </w:pPr>
            <w:r w:rsidRPr="0021118D">
              <w:t xml:space="preserve">The </w:t>
            </w:r>
            <w:r>
              <w:t>community health improvement plan</w:t>
            </w:r>
            <w:r w:rsidRPr="0021118D">
              <w:t xml:space="preserve"> is intended to be a dynamic document and should be revised annually. </w:t>
            </w:r>
            <w:r>
              <w:t xml:space="preserve">You can find </w:t>
            </w:r>
            <w:r w:rsidRPr="0021118D">
              <w:t xml:space="preserve">measures in PHAB </w:t>
            </w:r>
            <w:r>
              <w:t xml:space="preserve">standards and measures </w:t>
            </w:r>
            <w:r w:rsidRPr="0021118D">
              <w:t>version 2022</w:t>
            </w:r>
            <w:r>
              <w:t>, below,</w:t>
            </w:r>
            <w:r w:rsidRPr="0021118D">
              <w:t xml:space="preserve"> related to </w:t>
            </w:r>
            <w:r>
              <w:t>community health improvement plan</w:t>
            </w:r>
            <w:r w:rsidRPr="0021118D">
              <w:t xml:space="preserve"> monitoring and revising</w:t>
            </w:r>
            <w:r w:rsidR="00B70DDF">
              <w:t>, which</w:t>
            </w:r>
            <w:r w:rsidRPr="0021118D">
              <w:t xml:space="preserve"> you may want to consider when reviewing your </w:t>
            </w:r>
            <w:r>
              <w:t>community health improvement plan</w:t>
            </w:r>
            <w:r w:rsidRPr="0021118D">
              <w:t xml:space="preserve"> annually.</w:t>
            </w:r>
          </w:p>
        </w:tc>
      </w:tr>
      <w:tr w:rsidR="00B25CA4" w14:paraId="4EE959FA" w14:textId="77777777" w:rsidTr="00B25CA4">
        <w:trPr>
          <w:cantSplit/>
        </w:trPr>
        <w:tc>
          <w:tcPr>
            <w:tcW w:w="4458" w:type="dxa"/>
          </w:tcPr>
          <w:p w14:paraId="5DECBFE4" w14:textId="3427AE04" w:rsidR="00EB2CBE" w:rsidRPr="00900006" w:rsidRDefault="00EB2CBE" w:rsidP="00906F2A">
            <w:r w:rsidRPr="00900006">
              <w:rPr>
                <w:rFonts w:cs="Times New Roman"/>
              </w:rPr>
              <w:t>Community health improvement plan activities or strategies implemented</w:t>
            </w:r>
            <w:r w:rsidRPr="00900006">
              <w:rPr>
                <w:rStyle w:val="FootnoteReference"/>
                <w:rFonts w:cs="Times New Roman"/>
              </w:rPr>
              <w:footnoteReference w:id="15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5E8A7381" w14:textId="77777777" w:rsidR="00EB2CBE" w:rsidRPr="00900006" w:rsidRDefault="00EB2CBE" w:rsidP="00906F2A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007E085D" w14:textId="43370BE1" w:rsidR="00EB2CBE" w:rsidRDefault="00EB2CBE" w:rsidP="00906F2A">
            <w:pPr>
              <w:jc w:val="center"/>
            </w:pPr>
          </w:p>
        </w:tc>
        <w:tc>
          <w:tcPr>
            <w:tcW w:w="3055" w:type="dxa"/>
          </w:tcPr>
          <w:p w14:paraId="7E138BDB" w14:textId="77777777" w:rsidR="00EB2CBE" w:rsidRDefault="00EB2CBE" w:rsidP="00906F2A"/>
        </w:tc>
      </w:tr>
      <w:tr w:rsidR="00B25CA4" w14:paraId="7018A1D9" w14:textId="77777777" w:rsidTr="00B25CA4">
        <w:trPr>
          <w:cantSplit/>
        </w:trPr>
        <w:tc>
          <w:tcPr>
            <w:tcW w:w="4458" w:type="dxa"/>
          </w:tcPr>
          <w:p w14:paraId="692DB624" w14:textId="714BA88A" w:rsidR="00EB2CBE" w:rsidRPr="00D62013" w:rsidRDefault="00794482" w:rsidP="00906F2A">
            <w:pPr>
              <w:rPr>
                <w:rFonts w:cs="Times New Roman"/>
              </w:rPr>
            </w:pPr>
            <w:r>
              <w:rPr>
                <w:rFonts w:cs="Times New Roman"/>
              </w:rPr>
              <w:t>Annual r</w:t>
            </w:r>
            <w:r w:rsidR="00EB2CBE">
              <w:rPr>
                <w:rFonts w:cs="Times New Roman"/>
              </w:rPr>
              <w:t xml:space="preserve">eview </w:t>
            </w:r>
            <w:r>
              <w:rPr>
                <w:rFonts w:cs="Times New Roman"/>
              </w:rPr>
              <w:t xml:space="preserve">of </w:t>
            </w:r>
            <w:r w:rsidR="00EB2CBE" w:rsidRPr="00900006">
              <w:rPr>
                <w:rFonts w:cs="Times New Roman"/>
              </w:rPr>
              <w:t>progress made in implementing</w:t>
            </w:r>
            <w:r w:rsidR="00EB2CBE">
              <w:rPr>
                <w:rFonts w:cs="Times New Roman"/>
              </w:rPr>
              <w:t xml:space="preserve"> </w:t>
            </w:r>
            <w:r w:rsidR="00EB2CBE" w:rsidRPr="00900006">
              <w:rPr>
                <w:rFonts w:cs="Times New Roman"/>
              </w:rPr>
              <w:t xml:space="preserve">strategies and activities in the </w:t>
            </w:r>
            <w:r w:rsidR="0021118D">
              <w:rPr>
                <w:iCs/>
              </w:rPr>
              <w:t>community health improvement plan</w:t>
            </w:r>
            <w:r w:rsidR="00EB2CBE" w:rsidRPr="00900006">
              <w:rPr>
                <w:rStyle w:val="FootnoteReference"/>
                <w:rFonts w:cs="Times New Roman"/>
              </w:rPr>
              <w:footnoteReference w:id="16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19B1799E" w14:textId="77777777" w:rsidR="00EB2CBE" w:rsidRPr="00900006" w:rsidRDefault="00EB2CBE" w:rsidP="00906F2A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48936383" w14:textId="31CF98BF" w:rsidR="00EB2CBE" w:rsidRDefault="00EB2CBE" w:rsidP="00906F2A">
            <w:pPr>
              <w:jc w:val="center"/>
            </w:pPr>
          </w:p>
        </w:tc>
        <w:tc>
          <w:tcPr>
            <w:tcW w:w="3055" w:type="dxa"/>
          </w:tcPr>
          <w:p w14:paraId="595D6C82" w14:textId="77777777" w:rsidR="00EB2CBE" w:rsidRDefault="00EB2CBE" w:rsidP="00906F2A"/>
        </w:tc>
      </w:tr>
      <w:tr w:rsidR="00B25CA4" w14:paraId="678A533B" w14:textId="77777777" w:rsidTr="00B25CA4">
        <w:trPr>
          <w:cantSplit/>
        </w:trPr>
        <w:tc>
          <w:tcPr>
            <w:tcW w:w="4458" w:type="dxa"/>
          </w:tcPr>
          <w:p w14:paraId="7C05EDE0" w14:textId="5B9D147C" w:rsidR="00EB2CBE" w:rsidRPr="00900006" w:rsidRDefault="0021118D" w:rsidP="00906F2A">
            <w:r>
              <w:rPr>
                <w:iCs/>
              </w:rPr>
              <w:t>C</w:t>
            </w:r>
            <w:r>
              <w:rPr>
                <w:iCs/>
              </w:rPr>
              <w:t>ommunity health improvement plan</w:t>
            </w:r>
            <w:r w:rsidRPr="0021118D">
              <w:rPr>
                <w:iCs/>
              </w:rPr>
              <w:t xml:space="preserve"> </w:t>
            </w:r>
            <w:r w:rsidR="00794482">
              <w:rPr>
                <w:rFonts w:cs="Times New Roman"/>
              </w:rPr>
              <w:t>revised</w:t>
            </w:r>
            <w:r w:rsidR="00EB2CBE" w:rsidRPr="00900006">
              <w:rPr>
                <w:rFonts w:cs="Times New Roman"/>
              </w:rPr>
              <w:t xml:space="preserve"> based on annual review</w:t>
            </w:r>
            <w:r w:rsidR="00EB2CBE" w:rsidRPr="00900006">
              <w:rPr>
                <w:rStyle w:val="FootnoteReference"/>
                <w:rFonts w:cs="Times New Roman"/>
              </w:rPr>
              <w:footnoteReference w:id="17"/>
            </w:r>
          </w:p>
        </w:tc>
        <w:tc>
          <w:tcPr>
            <w:tcW w:w="1278" w:type="dxa"/>
            <w:tcBorders>
              <w:right w:val="dashed" w:sz="4" w:space="0" w:color="BFBFBF" w:themeColor="background1" w:themeShade="BF"/>
            </w:tcBorders>
          </w:tcPr>
          <w:p w14:paraId="0A83A7E2" w14:textId="77777777" w:rsidR="00EB2CBE" w:rsidRPr="00900006" w:rsidRDefault="00EB2CBE" w:rsidP="00906F2A">
            <w:pPr>
              <w:jc w:val="center"/>
            </w:pPr>
          </w:p>
        </w:tc>
        <w:tc>
          <w:tcPr>
            <w:tcW w:w="1279" w:type="dxa"/>
            <w:tcBorders>
              <w:left w:val="dashed" w:sz="4" w:space="0" w:color="BFBFBF" w:themeColor="background1" w:themeShade="BF"/>
            </w:tcBorders>
          </w:tcPr>
          <w:p w14:paraId="77CC462A" w14:textId="6B6659D9" w:rsidR="00EB2CBE" w:rsidRDefault="00EB2CBE" w:rsidP="00906F2A">
            <w:pPr>
              <w:jc w:val="center"/>
            </w:pPr>
          </w:p>
        </w:tc>
        <w:tc>
          <w:tcPr>
            <w:tcW w:w="3055" w:type="dxa"/>
          </w:tcPr>
          <w:p w14:paraId="72ACBAE2" w14:textId="77777777" w:rsidR="00EB2CBE" w:rsidRDefault="00EB2CBE" w:rsidP="00906F2A"/>
        </w:tc>
      </w:tr>
    </w:tbl>
    <w:p w14:paraId="48F2D58B" w14:textId="77777777" w:rsidR="00EB2CBE" w:rsidRPr="007244E1" w:rsidRDefault="00EB2CBE" w:rsidP="00EB2CBE">
      <w:pPr>
        <w:suppressAutoHyphens w:val="0"/>
        <w:spacing w:before="600"/>
        <w:rPr>
          <w:sz w:val="20"/>
          <w:szCs w:val="20"/>
        </w:rPr>
      </w:pPr>
      <w:r w:rsidRPr="007244E1">
        <w:rPr>
          <w:sz w:val="20"/>
          <w:szCs w:val="20"/>
        </w:rPr>
        <w:t>Minnesota Department of Health</w:t>
      </w:r>
      <w:r w:rsidRPr="007244E1">
        <w:rPr>
          <w:sz w:val="20"/>
          <w:szCs w:val="20"/>
        </w:rPr>
        <w:br/>
        <w:t>Center for Public Health Practice</w:t>
      </w:r>
      <w:r w:rsidRPr="007244E1">
        <w:rPr>
          <w:sz w:val="20"/>
          <w:szCs w:val="20"/>
        </w:rPr>
        <w:br/>
        <w:t>PO Box 64975  St. Paul, MN 55164-0975</w:t>
      </w:r>
      <w:r w:rsidRPr="007244E1">
        <w:rPr>
          <w:sz w:val="20"/>
          <w:szCs w:val="20"/>
        </w:rPr>
        <w:br/>
        <w:t xml:space="preserve">651-201-3880  </w:t>
      </w:r>
      <w:hyperlink r:id="rId10" w:history="1">
        <w:r w:rsidRPr="007244E1">
          <w:rPr>
            <w:color w:val="000000" w:themeColor="text1"/>
            <w:sz w:val="20"/>
            <w:szCs w:val="20"/>
          </w:rPr>
          <w:t>health.ophp@state.mn.us</w:t>
        </w:r>
      </w:hyperlink>
      <w:r w:rsidRPr="007244E1">
        <w:rPr>
          <w:sz w:val="20"/>
          <w:szCs w:val="20"/>
        </w:rPr>
        <w:br/>
      </w:r>
      <w:hyperlink r:id="rId11" w:tooltip="MDH website" w:history="1">
        <w:r w:rsidRPr="007244E1">
          <w:rPr>
            <w:sz w:val="20"/>
            <w:szCs w:val="20"/>
          </w:rPr>
          <w:t>www.health.state.mn.us</w:t>
        </w:r>
      </w:hyperlink>
    </w:p>
    <w:p w14:paraId="26F71FBF" w14:textId="77777777" w:rsidR="00EB2CBE" w:rsidRPr="007244E1" w:rsidRDefault="00EB2CBE" w:rsidP="00EB2CBE">
      <w:pPr>
        <w:tabs>
          <w:tab w:val="left" w:pos="3810"/>
          <w:tab w:val="center" w:pos="4680"/>
        </w:tabs>
        <w:suppressAutoHyphens w:val="0"/>
        <w:spacing w:before="600"/>
        <w:rPr>
          <w:sz w:val="20"/>
          <w:szCs w:val="20"/>
        </w:rPr>
      </w:pPr>
      <w:r>
        <w:rPr>
          <w:sz w:val="20"/>
          <w:szCs w:val="20"/>
        </w:rPr>
        <w:t>September</w:t>
      </w:r>
      <w:r w:rsidRPr="007244E1">
        <w:rPr>
          <w:sz w:val="20"/>
          <w:szCs w:val="20"/>
        </w:rPr>
        <w:t xml:space="preserve"> 20</w:t>
      </w:r>
      <w:r>
        <w:rPr>
          <w:sz w:val="20"/>
          <w:szCs w:val="20"/>
        </w:rPr>
        <w:t>23</w:t>
      </w:r>
    </w:p>
    <w:p w14:paraId="28EFFB7B" w14:textId="126C6EB5" w:rsidR="00D863DC" w:rsidRPr="0021118D" w:rsidRDefault="00EB2CBE" w:rsidP="0021118D">
      <w:pPr>
        <w:suppressAutoHyphens w:val="0"/>
        <w:rPr>
          <w:i/>
          <w:sz w:val="20"/>
          <w:szCs w:val="20"/>
        </w:rPr>
      </w:pPr>
      <w:r w:rsidRPr="007244E1">
        <w:rPr>
          <w:i/>
          <w:sz w:val="20"/>
          <w:szCs w:val="20"/>
        </w:rPr>
        <w:t>To obtain this information in a different format, call</w:t>
      </w:r>
      <w:r w:rsidRPr="008326AA">
        <w:rPr>
          <w:i/>
          <w:sz w:val="20"/>
          <w:szCs w:val="20"/>
        </w:rPr>
        <w:t>: 651-201-3880.</w:t>
      </w:r>
    </w:p>
    <w:sectPr w:rsidR="00D863DC" w:rsidRPr="0021118D" w:rsidSect="007244E1">
      <w:headerReference w:type="default" r:id="rId12"/>
      <w:footerReference w:type="default" r:id="rId13"/>
      <w:pgSz w:w="12240" w:h="15840"/>
      <w:pgMar w:top="720" w:right="1080" w:bottom="720" w:left="108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4D0F" w14:textId="77777777" w:rsidR="00073564" w:rsidRDefault="00073564" w:rsidP="00AB708B">
      <w:r>
        <w:separator/>
      </w:r>
    </w:p>
  </w:endnote>
  <w:endnote w:type="continuationSeparator" w:id="0">
    <w:p w14:paraId="4E4D93B8" w14:textId="77777777" w:rsidR="00073564" w:rsidRDefault="00073564" w:rsidP="00AB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446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62B1F" w14:textId="23A1B8F3" w:rsidR="007244E1" w:rsidRDefault="007244E1" w:rsidP="007244E1">
        <w:pPr>
          <w:pStyle w:val="Footer"/>
          <w:spacing w:before="240" w:after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6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F0B1" w14:textId="77777777" w:rsidR="00073564" w:rsidRDefault="00073564" w:rsidP="00AB708B">
      <w:r>
        <w:separator/>
      </w:r>
    </w:p>
  </w:footnote>
  <w:footnote w:type="continuationSeparator" w:id="0">
    <w:p w14:paraId="28EDD7A6" w14:textId="77777777" w:rsidR="00073564" w:rsidRDefault="00073564" w:rsidP="00AB708B">
      <w:r>
        <w:continuationSeparator/>
      </w:r>
    </w:p>
  </w:footnote>
  <w:footnote w:id="1">
    <w:p w14:paraId="63DBA0C8" w14:textId="727BD6F5" w:rsidR="00073564" w:rsidRPr="00900006" w:rsidRDefault="00073564" w:rsidP="00C802D6">
      <w:pPr>
        <w:pStyle w:val="FootnoteText"/>
        <w:rPr>
          <w:sz w:val="16"/>
          <w:szCs w:val="16"/>
        </w:rPr>
      </w:pPr>
      <w:r w:rsidRPr="00900006">
        <w:rPr>
          <w:rStyle w:val="FootnoteReference"/>
          <w:sz w:val="16"/>
          <w:szCs w:val="16"/>
        </w:rPr>
        <w:footnoteRef/>
      </w:r>
      <w:r w:rsidRPr="00900006">
        <w:rPr>
          <w:sz w:val="16"/>
          <w:szCs w:val="16"/>
        </w:rPr>
        <w:t xml:space="preserve"> </w:t>
      </w:r>
      <w:r w:rsidR="00CD3478" w:rsidRPr="00900006">
        <w:rPr>
          <w:sz w:val="16"/>
          <w:szCs w:val="16"/>
        </w:rPr>
        <w:t xml:space="preserve"> PHAB </w:t>
      </w:r>
      <w:r w:rsidR="00D863DC">
        <w:rPr>
          <w:sz w:val="16"/>
          <w:szCs w:val="16"/>
        </w:rPr>
        <w:t>m</w:t>
      </w:r>
      <w:r w:rsidR="00CD3478" w:rsidRPr="00900006">
        <w:rPr>
          <w:sz w:val="16"/>
          <w:szCs w:val="16"/>
        </w:rPr>
        <w:t xml:space="preserve">easures </w:t>
      </w:r>
      <w:r w:rsidR="00CD3478" w:rsidRPr="00D863DC">
        <w:rPr>
          <w:sz w:val="16"/>
          <w:szCs w:val="16"/>
        </w:rPr>
        <w:t>5.2.1 A</w:t>
      </w:r>
      <w:r w:rsidR="00CD3478" w:rsidRPr="00900006">
        <w:rPr>
          <w:sz w:val="16"/>
          <w:szCs w:val="16"/>
        </w:rPr>
        <w:t xml:space="preserve">, </w:t>
      </w:r>
      <w:r w:rsidR="00CD3478" w:rsidRPr="00D863DC">
        <w:rPr>
          <w:sz w:val="16"/>
          <w:szCs w:val="16"/>
        </w:rPr>
        <w:t>5.2.2 A</w:t>
      </w:r>
      <w:r w:rsidR="00CD3478" w:rsidRPr="00900006">
        <w:rPr>
          <w:sz w:val="16"/>
          <w:szCs w:val="16"/>
        </w:rPr>
        <w:t>,</w:t>
      </w:r>
      <w:r w:rsidR="006540A4">
        <w:rPr>
          <w:sz w:val="16"/>
          <w:szCs w:val="16"/>
        </w:rPr>
        <w:t xml:space="preserve"> </w:t>
      </w:r>
      <w:r w:rsidR="006540A4" w:rsidRPr="00D863DC">
        <w:rPr>
          <w:sz w:val="16"/>
          <w:szCs w:val="16"/>
        </w:rPr>
        <w:t>5.2.3 A</w:t>
      </w:r>
      <w:r w:rsidR="006540A4">
        <w:rPr>
          <w:sz w:val="16"/>
          <w:szCs w:val="16"/>
        </w:rPr>
        <w:t>,</w:t>
      </w:r>
      <w:r w:rsidR="00CD3478" w:rsidRPr="00900006">
        <w:rPr>
          <w:sz w:val="16"/>
          <w:szCs w:val="16"/>
        </w:rPr>
        <w:t xml:space="preserve"> </w:t>
      </w:r>
      <w:r w:rsidR="00CD3478" w:rsidRPr="00D863DC">
        <w:rPr>
          <w:sz w:val="16"/>
          <w:szCs w:val="16"/>
        </w:rPr>
        <w:t>5.2.4 A</w:t>
      </w:r>
      <w:r w:rsidR="00D863DC">
        <w:rPr>
          <w:sz w:val="16"/>
          <w:szCs w:val="16"/>
        </w:rPr>
        <w:t xml:space="preserve">; </w:t>
      </w:r>
      <w:hyperlink r:id="rId1" w:history="1">
        <w:r w:rsidR="00D863DC" w:rsidRPr="00D863DC">
          <w:rPr>
            <w:rStyle w:val="Hyperlink"/>
            <w:sz w:val="16"/>
            <w:szCs w:val="16"/>
          </w:rPr>
          <w:t>Minn. Stat. § 145A.04</w:t>
        </w:r>
        <w:r w:rsidR="00D863DC" w:rsidRPr="00D863DC">
          <w:rPr>
            <w:rStyle w:val="Hyperlink"/>
            <w:sz w:val="16"/>
            <w:szCs w:val="16"/>
            <w:u w:val="none"/>
          </w:rPr>
          <w:t xml:space="preserve"> (</w:t>
        </w:r>
        <w:r w:rsidR="00D863DC" w:rsidRPr="00D863DC">
          <w:rPr>
            <w:rStyle w:val="Hyperlink"/>
            <w:sz w:val="16"/>
            <w:szCs w:val="16"/>
            <w:u w:val="none"/>
          </w:rPr>
          <w:t>https://www.revisor.mn.gov/statutes/cite/145A.04</w:t>
        </w:r>
        <w:r w:rsidR="00D863DC" w:rsidRPr="00D863DC">
          <w:rPr>
            <w:rStyle w:val="Hyperlink"/>
            <w:sz w:val="16"/>
            <w:szCs w:val="16"/>
            <w:u w:val="none"/>
          </w:rPr>
          <w:t>)</w:t>
        </w:r>
      </w:hyperlink>
    </w:p>
  </w:footnote>
  <w:footnote w:id="2">
    <w:p w14:paraId="32F44DB7" w14:textId="5FFF5E8F" w:rsidR="00F626D7" w:rsidRPr="00A755ED" w:rsidRDefault="00F626D7" w:rsidP="00F626D7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MDH strongly encourages community health boards to collaborate with non-profit hospitals who are required to conduct a community health needs assessment and adopt an implementation strategy</w:t>
      </w:r>
      <w:r w:rsidR="00D863DC">
        <w:rPr>
          <w:sz w:val="16"/>
          <w:szCs w:val="16"/>
        </w:rPr>
        <w:t xml:space="preserve"> (</w:t>
      </w:r>
      <w:r w:rsidRPr="00D863DC">
        <w:rPr>
          <w:sz w:val="16"/>
          <w:szCs w:val="16"/>
        </w:rPr>
        <w:t>PHAB Measure 5.2.1 A Required Documentation #1a</w:t>
      </w:r>
      <w:r w:rsidR="00D863DC">
        <w:rPr>
          <w:sz w:val="16"/>
          <w:szCs w:val="16"/>
        </w:rPr>
        <w:t>)</w:t>
      </w:r>
    </w:p>
  </w:footnote>
  <w:footnote w:id="3">
    <w:p w14:paraId="3E0BFFF7" w14:textId="0B427D67" w:rsidR="0034468D" w:rsidRPr="00A755ED" w:rsidRDefault="0034468D" w:rsidP="0034468D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D863DC">
        <w:rPr>
          <w:sz w:val="16"/>
          <w:szCs w:val="16"/>
        </w:rPr>
        <w:t>PHAB Measure 5.2.1 A Required Documentation #1a</w:t>
      </w:r>
    </w:p>
  </w:footnote>
  <w:footnote w:id="4">
    <w:p w14:paraId="4AF6829C" w14:textId="65B9280E" w:rsidR="007F16CF" w:rsidRPr="00A755ED" w:rsidRDefault="007F16CF" w:rsidP="007F16CF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D863DC">
        <w:rPr>
          <w:sz w:val="16"/>
          <w:szCs w:val="16"/>
        </w:rPr>
        <w:t>PHAB Measure 5.2.1 Documentation Guidance #1b</w:t>
      </w:r>
    </w:p>
  </w:footnote>
  <w:footnote w:id="5">
    <w:p w14:paraId="34BFD92C" w14:textId="4B06FA32" w:rsidR="007F16CF" w:rsidRPr="00A755ED" w:rsidRDefault="007F16CF" w:rsidP="007F16CF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D863DC">
        <w:rPr>
          <w:sz w:val="16"/>
          <w:szCs w:val="16"/>
        </w:rPr>
        <w:t>PHAB Measure 5.2.1 A Required Documentation #1c</w:t>
      </w:r>
    </w:p>
  </w:footnote>
  <w:footnote w:id="6">
    <w:p w14:paraId="71C2BAEC" w14:textId="2FE3A393" w:rsidR="007F16CF" w:rsidRDefault="007F16CF" w:rsidP="007F16CF">
      <w:pPr>
        <w:pStyle w:val="FootnoteText"/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D863DC">
        <w:rPr>
          <w:sz w:val="16"/>
          <w:szCs w:val="16"/>
        </w:rPr>
        <w:t>PHAB Measure 5.2.1 A Required Documentation #1d</w:t>
      </w:r>
    </w:p>
  </w:footnote>
  <w:footnote w:id="7">
    <w:p w14:paraId="31A46FCA" w14:textId="041B8C57" w:rsidR="007F16CF" w:rsidRPr="00A755ED" w:rsidRDefault="007F16CF" w:rsidP="007F16CF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D863DC">
        <w:rPr>
          <w:sz w:val="16"/>
          <w:szCs w:val="16"/>
        </w:rPr>
        <w:t>PHAB Measure 5.2.2 A Required Documentation #1a</w:t>
      </w:r>
    </w:p>
  </w:footnote>
  <w:footnote w:id="8">
    <w:p w14:paraId="58000816" w14:textId="7D92CEFC" w:rsidR="007F16CF" w:rsidRPr="00A755ED" w:rsidRDefault="007F16CF" w:rsidP="007F16CF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D863DC">
        <w:rPr>
          <w:sz w:val="16"/>
          <w:szCs w:val="16"/>
        </w:rPr>
        <w:t>PHAB Measure 5.2.2 A Required Documentation #1b</w:t>
      </w:r>
    </w:p>
  </w:footnote>
  <w:footnote w:id="9">
    <w:p w14:paraId="29D14980" w14:textId="19C38A06" w:rsidR="007F16CF" w:rsidRPr="00A755ED" w:rsidRDefault="007F16CF" w:rsidP="007F16CF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D863DC">
        <w:rPr>
          <w:sz w:val="16"/>
          <w:szCs w:val="16"/>
        </w:rPr>
        <w:t>PHAB Measure 5.2.2 A Required Documentation #1ci</w:t>
      </w:r>
    </w:p>
  </w:footnote>
  <w:footnote w:id="10">
    <w:p w14:paraId="717A7136" w14:textId="267CB8A0" w:rsidR="007F16CF" w:rsidRPr="00A755ED" w:rsidRDefault="007F16CF" w:rsidP="007F16CF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D863DC">
        <w:rPr>
          <w:sz w:val="16"/>
          <w:szCs w:val="16"/>
        </w:rPr>
        <w:t>PHAB Measure 5.2.2 A Required Documentation #1cii</w:t>
      </w:r>
    </w:p>
  </w:footnote>
  <w:footnote w:id="11">
    <w:p w14:paraId="6755346A" w14:textId="3EB0FA3C" w:rsidR="007F16CF" w:rsidRPr="00A755ED" w:rsidRDefault="007F16CF" w:rsidP="007F16CF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D863DC">
        <w:rPr>
          <w:sz w:val="16"/>
          <w:szCs w:val="16"/>
        </w:rPr>
        <w:t>PHAB Measure 5.2.2 A Required Documentation #1d</w:t>
      </w:r>
    </w:p>
  </w:footnote>
  <w:footnote w:id="12">
    <w:p w14:paraId="2F7C8160" w14:textId="756F021D" w:rsidR="007F16CF" w:rsidRPr="00A755ED" w:rsidRDefault="007F16CF" w:rsidP="007F16CF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D863DC">
        <w:rPr>
          <w:sz w:val="16"/>
          <w:szCs w:val="16"/>
        </w:rPr>
        <w:t>PHAB Measure 5.2.2 A Required Documentation #1e</w:t>
      </w:r>
    </w:p>
  </w:footnote>
  <w:footnote w:id="13">
    <w:p w14:paraId="3717E6F8" w14:textId="2E7C146E" w:rsidR="00B50717" w:rsidRDefault="00B50717">
      <w:pPr>
        <w:pStyle w:val="FootnoteText"/>
      </w:pPr>
      <w:r w:rsidRPr="00D863DC">
        <w:rPr>
          <w:rStyle w:val="FootnoteReference"/>
          <w:sz w:val="16"/>
          <w:szCs w:val="16"/>
        </w:rPr>
        <w:footnoteRef/>
      </w:r>
      <w:r w:rsidRPr="00D863DC">
        <w:rPr>
          <w:sz w:val="12"/>
          <w:szCs w:val="12"/>
        </w:rPr>
        <w:t xml:space="preserve"> </w:t>
      </w:r>
      <w:r w:rsidRPr="00D863DC">
        <w:rPr>
          <w:sz w:val="16"/>
          <w:szCs w:val="16"/>
        </w:rPr>
        <w:t>PHAB Measure 5.2.4 A Required Documentation #1</w:t>
      </w:r>
    </w:p>
  </w:footnote>
  <w:footnote w:id="14">
    <w:p w14:paraId="437A9074" w14:textId="27F602C2" w:rsidR="00B50717" w:rsidRDefault="00B50717">
      <w:pPr>
        <w:pStyle w:val="FootnoteText"/>
      </w:pPr>
      <w:r w:rsidRPr="00D863DC">
        <w:rPr>
          <w:rStyle w:val="FootnoteReference"/>
          <w:sz w:val="16"/>
          <w:szCs w:val="16"/>
        </w:rPr>
        <w:footnoteRef/>
      </w:r>
      <w:r w:rsidRPr="00D863DC">
        <w:rPr>
          <w:sz w:val="16"/>
          <w:szCs w:val="16"/>
        </w:rPr>
        <w:t xml:space="preserve"> PHAB Measure 5.2.4 A Required Documentation #2</w:t>
      </w:r>
    </w:p>
  </w:footnote>
  <w:footnote w:id="15">
    <w:p w14:paraId="40A7E443" w14:textId="782F0E7E" w:rsidR="00EB2CBE" w:rsidRPr="00A755ED" w:rsidRDefault="00EB2CBE" w:rsidP="00EB2CBE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21118D">
        <w:rPr>
          <w:sz w:val="16"/>
          <w:szCs w:val="16"/>
        </w:rPr>
        <w:t>PHAB Measure 5.2.3 A Required Documentation #1</w:t>
      </w:r>
    </w:p>
  </w:footnote>
  <w:footnote w:id="16">
    <w:p w14:paraId="03ECB26A" w14:textId="397E514B" w:rsidR="00EB2CBE" w:rsidRPr="00A755ED" w:rsidRDefault="00EB2CBE" w:rsidP="00EB2CBE">
      <w:pPr>
        <w:pStyle w:val="FootnoteText"/>
        <w:rPr>
          <w:sz w:val="16"/>
          <w:szCs w:val="16"/>
        </w:rPr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21118D">
        <w:rPr>
          <w:sz w:val="16"/>
          <w:szCs w:val="16"/>
        </w:rPr>
        <w:t>PHAB Measure 5.2.3 A Required Documentation #2</w:t>
      </w:r>
    </w:p>
  </w:footnote>
  <w:footnote w:id="17">
    <w:p w14:paraId="2A853858" w14:textId="5CC49FB0" w:rsidR="00EB2CBE" w:rsidRDefault="00EB2CBE" w:rsidP="00EB2CBE">
      <w:pPr>
        <w:pStyle w:val="FootnoteText"/>
      </w:pPr>
      <w:r w:rsidRPr="00A755ED">
        <w:rPr>
          <w:rStyle w:val="FootnoteReference"/>
          <w:sz w:val="16"/>
          <w:szCs w:val="16"/>
        </w:rPr>
        <w:footnoteRef/>
      </w:r>
      <w:r w:rsidRPr="00A755ED">
        <w:rPr>
          <w:sz w:val="16"/>
          <w:szCs w:val="16"/>
        </w:rPr>
        <w:t xml:space="preserve"> </w:t>
      </w:r>
      <w:r w:rsidRPr="0021118D">
        <w:rPr>
          <w:sz w:val="16"/>
          <w:szCs w:val="16"/>
        </w:rPr>
        <w:t>PHAB Measure 5.2.3 A Required Documentation #3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4CAB" w14:textId="65C18CA0" w:rsidR="007244E1" w:rsidRPr="007244E1" w:rsidRDefault="007244E1" w:rsidP="007244E1">
    <w:pPr>
      <w:pStyle w:val="Header"/>
    </w:pPr>
    <w:r w:rsidRPr="007244E1">
      <w:t>Review checklist for your community health improvement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2D88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6FE5180"/>
    <w:multiLevelType w:val="hybridMultilevel"/>
    <w:tmpl w:val="C99E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7" w15:restartNumberingAfterBreak="0">
    <w:nsid w:val="79D53883"/>
    <w:multiLevelType w:val="multilevel"/>
    <w:tmpl w:val="7D02355C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931039882">
    <w:abstractNumId w:val="1"/>
  </w:num>
  <w:num w:numId="2" w16cid:durableId="27881499">
    <w:abstractNumId w:val="0"/>
  </w:num>
  <w:num w:numId="3" w16cid:durableId="1701473450">
    <w:abstractNumId w:val="6"/>
  </w:num>
  <w:num w:numId="4" w16cid:durableId="1656453352">
    <w:abstractNumId w:val="7"/>
  </w:num>
  <w:num w:numId="5" w16cid:durableId="1503155154">
    <w:abstractNumId w:val="4"/>
  </w:num>
  <w:num w:numId="6" w16cid:durableId="1557475875">
    <w:abstractNumId w:val="3"/>
  </w:num>
  <w:num w:numId="7" w16cid:durableId="111170409">
    <w:abstractNumId w:val="2"/>
  </w:num>
  <w:num w:numId="8" w16cid:durableId="35504083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6C"/>
    <w:rsid w:val="000009FC"/>
    <w:rsid w:val="0000122F"/>
    <w:rsid w:val="00001775"/>
    <w:rsid w:val="000021B3"/>
    <w:rsid w:val="000050B3"/>
    <w:rsid w:val="0000588B"/>
    <w:rsid w:val="00006358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3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0B6"/>
    <w:rsid w:val="0005251A"/>
    <w:rsid w:val="000529D3"/>
    <w:rsid w:val="00053524"/>
    <w:rsid w:val="00053ED8"/>
    <w:rsid w:val="00054CF4"/>
    <w:rsid w:val="00055C4C"/>
    <w:rsid w:val="00055FC9"/>
    <w:rsid w:val="00056408"/>
    <w:rsid w:val="00057AE7"/>
    <w:rsid w:val="00060165"/>
    <w:rsid w:val="00060A8A"/>
    <w:rsid w:val="00061630"/>
    <w:rsid w:val="0006187C"/>
    <w:rsid w:val="00062332"/>
    <w:rsid w:val="00062368"/>
    <w:rsid w:val="00062A4E"/>
    <w:rsid w:val="00062B55"/>
    <w:rsid w:val="000631ED"/>
    <w:rsid w:val="00063E00"/>
    <w:rsid w:val="00065579"/>
    <w:rsid w:val="00065611"/>
    <w:rsid w:val="000657C4"/>
    <w:rsid w:val="00066A8A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564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673"/>
    <w:rsid w:val="00090DC9"/>
    <w:rsid w:val="00091611"/>
    <w:rsid w:val="00091B47"/>
    <w:rsid w:val="000933AA"/>
    <w:rsid w:val="00093838"/>
    <w:rsid w:val="00093EC5"/>
    <w:rsid w:val="00093F5A"/>
    <w:rsid w:val="00094E86"/>
    <w:rsid w:val="00095135"/>
    <w:rsid w:val="000966CC"/>
    <w:rsid w:val="00096B06"/>
    <w:rsid w:val="00096F26"/>
    <w:rsid w:val="00097DA4"/>
    <w:rsid w:val="000A1B6D"/>
    <w:rsid w:val="000A1E43"/>
    <w:rsid w:val="000A21CE"/>
    <w:rsid w:val="000A2FB5"/>
    <w:rsid w:val="000A386F"/>
    <w:rsid w:val="000A3A77"/>
    <w:rsid w:val="000A438E"/>
    <w:rsid w:val="000A44E4"/>
    <w:rsid w:val="000A476B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66E"/>
    <w:rsid w:val="000B6770"/>
    <w:rsid w:val="000C0AB6"/>
    <w:rsid w:val="000C1F9F"/>
    <w:rsid w:val="000C1FE7"/>
    <w:rsid w:val="000C290E"/>
    <w:rsid w:val="000C2EA1"/>
    <w:rsid w:val="000C4421"/>
    <w:rsid w:val="000C5301"/>
    <w:rsid w:val="000C6937"/>
    <w:rsid w:val="000C7331"/>
    <w:rsid w:val="000D130A"/>
    <w:rsid w:val="000D1432"/>
    <w:rsid w:val="000D1E39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3E26"/>
    <w:rsid w:val="000E468E"/>
    <w:rsid w:val="000E542E"/>
    <w:rsid w:val="000E682C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04EE"/>
    <w:rsid w:val="001024C4"/>
    <w:rsid w:val="00103440"/>
    <w:rsid w:val="001039AA"/>
    <w:rsid w:val="00103E6F"/>
    <w:rsid w:val="00104058"/>
    <w:rsid w:val="00104640"/>
    <w:rsid w:val="00104FDB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A6D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36B"/>
    <w:rsid w:val="00140393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46B00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2BF5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4991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1B0"/>
    <w:rsid w:val="00190EB2"/>
    <w:rsid w:val="00191E21"/>
    <w:rsid w:val="0019293D"/>
    <w:rsid w:val="00192ED2"/>
    <w:rsid w:val="001941DC"/>
    <w:rsid w:val="0019499A"/>
    <w:rsid w:val="00194CEB"/>
    <w:rsid w:val="0019552D"/>
    <w:rsid w:val="00195B0B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4B5"/>
    <w:rsid w:val="001A7646"/>
    <w:rsid w:val="001B04BB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B18"/>
    <w:rsid w:val="001C3CC2"/>
    <w:rsid w:val="001C477F"/>
    <w:rsid w:val="001C5000"/>
    <w:rsid w:val="001C5446"/>
    <w:rsid w:val="001C56C8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0B32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18D"/>
    <w:rsid w:val="00211287"/>
    <w:rsid w:val="00211563"/>
    <w:rsid w:val="002119D1"/>
    <w:rsid w:val="002134D4"/>
    <w:rsid w:val="00214175"/>
    <w:rsid w:val="00214233"/>
    <w:rsid w:val="00214235"/>
    <w:rsid w:val="0021484F"/>
    <w:rsid w:val="00214A6E"/>
    <w:rsid w:val="00214E1D"/>
    <w:rsid w:val="0021659B"/>
    <w:rsid w:val="0021718B"/>
    <w:rsid w:val="00217C67"/>
    <w:rsid w:val="00217EAF"/>
    <w:rsid w:val="002214F5"/>
    <w:rsid w:val="0022313E"/>
    <w:rsid w:val="002234BD"/>
    <w:rsid w:val="0022379B"/>
    <w:rsid w:val="00224B96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2D67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49D3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10F7"/>
    <w:rsid w:val="002624DF"/>
    <w:rsid w:val="00262A64"/>
    <w:rsid w:val="00262E07"/>
    <w:rsid w:val="0026364A"/>
    <w:rsid w:val="00263F7C"/>
    <w:rsid w:val="00264B2D"/>
    <w:rsid w:val="00265256"/>
    <w:rsid w:val="0026529E"/>
    <w:rsid w:val="00265425"/>
    <w:rsid w:val="002654DD"/>
    <w:rsid w:val="00265525"/>
    <w:rsid w:val="00265740"/>
    <w:rsid w:val="00266C04"/>
    <w:rsid w:val="00266F30"/>
    <w:rsid w:val="002677D3"/>
    <w:rsid w:val="00267C61"/>
    <w:rsid w:val="00270031"/>
    <w:rsid w:val="002704F1"/>
    <w:rsid w:val="00271DDA"/>
    <w:rsid w:val="0027223B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1F53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12A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252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718"/>
    <w:rsid w:val="002E68AB"/>
    <w:rsid w:val="002E6A3D"/>
    <w:rsid w:val="002E6D8D"/>
    <w:rsid w:val="002E789F"/>
    <w:rsid w:val="002E7B59"/>
    <w:rsid w:val="002F050C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6205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C6"/>
    <w:rsid w:val="003155A1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D54"/>
    <w:rsid w:val="00335CF3"/>
    <w:rsid w:val="0033678C"/>
    <w:rsid w:val="00337903"/>
    <w:rsid w:val="00337EC8"/>
    <w:rsid w:val="003400B7"/>
    <w:rsid w:val="0034028B"/>
    <w:rsid w:val="0034044E"/>
    <w:rsid w:val="00340F82"/>
    <w:rsid w:val="003411ED"/>
    <w:rsid w:val="00341AAA"/>
    <w:rsid w:val="00343D72"/>
    <w:rsid w:val="00343F4C"/>
    <w:rsid w:val="0034420E"/>
    <w:rsid w:val="0034468D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2A58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2ECB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A3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1CC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96E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1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32B"/>
    <w:rsid w:val="00427E4D"/>
    <w:rsid w:val="0043058A"/>
    <w:rsid w:val="004308C6"/>
    <w:rsid w:val="00430D7F"/>
    <w:rsid w:val="0043154E"/>
    <w:rsid w:val="00431761"/>
    <w:rsid w:val="00431C28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3BF0"/>
    <w:rsid w:val="0044442D"/>
    <w:rsid w:val="00444839"/>
    <w:rsid w:val="00445B5F"/>
    <w:rsid w:val="0044794C"/>
    <w:rsid w:val="00450878"/>
    <w:rsid w:val="00450911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0F9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357E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DA5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8DA"/>
    <w:rsid w:val="004C5A39"/>
    <w:rsid w:val="004C5EE7"/>
    <w:rsid w:val="004C610F"/>
    <w:rsid w:val="004C71E8"/>
    <w:rsid w:val="004C7793"/>
    <w:rsid w:val="004C78D2"/>
    <w:rsid w:val="004C7A52"/>
    <w:rsid w:val="004D0731"/>
    <w:rsid w:val="004D0763"/>
    <w:rsid w:val="004D08AF"/>
    <w:rsid w:val="004D184E"/>
    <w:rsid w:val="004D1A38"/>
    <w:rsid w:val="004D1DEA"/>
    <w:rsid w:val="004D2244"/>
    <w:rsid w:val="004D5B33"/>
    <w:rsid w:val="004D5E2B"/>
    <w:rsid w:val="004D74FA"/>
    <w:rsid w:val="004D79D9"/>
    <w:rsid w:val="004D7B7A"/>
    <w:rsid w:val="004E099D"/>
    <w:rsid w:val="004E0F86"/>
    <w:rsid w:val="004E25CC"/>
    <w:rsid w:val="004E31DA"/>
    <w:rsid w:val="004E331F"/>
    <w:rsid w:val="004E41CB"/>
    <w:rsid w:val="004E499D"/>
    <w:rsid w:val="004E4CAE"/>
    <w:rsid w:val="004E4DCE"/>
    <w:rsid w:val="004F0724"/>
    <w:rsid w:val="004F079C"/>
    <w:rsid w:val="004F0A11"/>
    <w:rsid w:val="004F19F5"/>
    <w:rsid w:val="004F1D68"/>
    <w:rsid w:val="004F21E0"/>
    <w:rsid w:val="004F25C8"/>
    <w:rsid w:val="004F33FD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1AF"/>
    <w:rsid w:val="00513442"/>
    <w:rsid w:val="00513B93"/>
    <w:rsid w:val="00513C5F"/>
    <w:rsid w:val="00515B20"/>
    <w:rsid w:val="005168D4"/>
    <w:rsid w:val="00516A92"/>
    <w:rsid w:val="005172FC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192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D"/>
    <w:rsid w:val="005514EB"/>
    <w:rsid w:val="005519B0"/>
    <w:rsid w:val="005522AA"/>
    <w:rsid w:val="00552741"/>
    <w:rsid w:val="005527A5"/>
    <w:rsid w:val="00553038"/>
    <w:rsid w:val="00553443"/>
    <w:rsid w:val="0055386D"/>
    <w:rsid w:val="00553F84"/>
    <w:rsid w:val="00554487"/>
    <w:rsid w:val="005544E1"/>
    <w:rsid w:val="00556DD4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36AE"/>
    <w:rsid w:val="005748CC"/>
    <w:rsid w:val="00574FB7"/>
    <w:rsid w:val="00575C5B"/>
    <w:rsid w:val="00575F93"/>
    <w:rsid w:val="00580D23"/>
    <w:rsid w:val="00582090"/>
    <w:rsid w:val="00582B20"/>
    <w:rsid w:val="00583615"/>
    <w:rsid w:val="005842F4"/>
    <w:rsid w:val="00584D07"/>
    <w:rsid w:val="00584FDC"/>
    <w:rsid w:val="00584FF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11B7"/>
    <w:rsid w:val="00592837"/>
    <w:rsid w:val="00592CC4"/>
    <w:rsid w:val="00593604"/>
    <w:rsid w:val="00593C06"/>
    <w:rsid w:val="0059415F"/>
    <w:rsid w:val="00594D59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019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205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6E5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66C"/>
    <w:rsid w:val="00605C1B"/>
    <w:rsid w:val="0060648F"/>
    <w:rsid w:val="006066E3"/>
    <w:rsid w:val="00607162"/>
    <w:rsid w:val="00607A41"/>
    <w:rsid w:val="00607BC7"/>
    <w:rsid w:val="00610054"/>
    <w:rsid w:val="006104AC"/>
    <w:rsid w:val="00610D8B"/>
    <w:rsid w:val="00610FB3"/>
    <w:rsid w:val="00611A2A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2C81"/>
    <w:rsid w:val="006335A4"/>
    <w:rsid w:val="006336F6"/>
    <w:rsid w:val="00634AD3"/>
    <w:rsid w:val="00635A26"/>
    <w:rsid w:val="00635DB3"/>
    <w:rsid w:val="0063631F"/>
    <w:rsid w:val="006363E5"/>
    <w:rsid w:val="006363F8"/>
    <w:rsid w:val="006363FF"/>
    <w:rsid w:val="00636C38"/>
    <w:rsid w:val="00637446"/>
    <w:rsid w:val="00637D9B"/>
    <w:rsid w:val="00640357"/>
    <w:rsid w:val="006408A9"/>
    <w:rsid w:val="006408B6"/>
    <w:rsid w:val="00641629"/>
    <w:rsid w:val="0064169F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0A4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76F3D"/>
    <w:rsid w:val="0067735A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A70C4"/>
    <w:rsid w:val="006B0217"/>
    <w:rsid w:val="006B0337"/>
    <w:rsid w:val="006B0AD0"/>
    <w:rsid w:val="006B18A2"/>
    <w:rsid w:val="006B1A06"/>
    <w:rsid w:val="006B1A5B"/>
    <w:rsid w:val="006B3A40"/>
    <w:rsid w:val="006B3A5B"/>
    <w:rsid w:val="006B3AEA"/>
    <w:rsid w:val="006B3C59"/>
    <w:rsid w:val="006B3D90"/>
    <w:rsid w:val="006B4303"/>
    <w:rsid w:val="006B4528"/>
    <w:rsid w:val="006B4667"/>
    <w:rsid w:val="006B56C2"/>
    <w:rsid w:val="006B60F0"/>
    <w:rsid w:val="006B64B3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1704"/>
    <w:rsid w:val="006D248C"/>
    <w:rsid w:val="006D2D2A"/>
    <w:rsid w:val="006D351E"/>
    <w:rsid w:val="006D36BF"/>
    <w:rsid w:val="006D430B"/>
    <w:rsid w:val="006D43D8"/>
    <w:rsid w:val="006D5372"/>
    <w:rsid w:val="006D5BD3"/>
    <w:rsid w:val="006D690D"/>
    <w:rsid w:val="006D7009"/>
    <w:rsid w:val="006D751B"/>
    <w:rsid w:val="006E0C63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063"/>
    <w:rsid w:val="006F456A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8E1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4E1"/>
    <w:rsid w:val="0072459E"/>
    <w:rsid w:val="0072486B"/>
    <w:rsid w:val="00724C5F"/>
    <w:rsid w:val="007251D0"/>
    <w:rsid w:val="00726815"/>
    <w:rsid w:val="00726900"/>
    <w:rsid w:val="00726E0B"/>
    <w:rsid w:val="007271C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702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2C3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3A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9A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3347"/>
    <w:rsid w:val="00794482"/>
    <w:rsid w:val="00794F02"/>
    <w:rsid w:val="00794FBF"/>
    <w:rsid w:val="00795657"/>
    <w:rsid w:val="00796542"/>
    <w:rsid w:val="00796A5B"/>
    <w:rsid w:val="00796B04"/>
    <w:rsid w:val="00796C3B"/>
    <w:rsid w:val="007974D1"/>
    <w:rsid w:val="007A01C9"/>
    <w:rsid w:val="007A02AA"/>
    <w:rsid w:val="007A045C"/>
    <w:rsid w:val="007A04F6"/>
    <w:rsid w:val="007A12A4"/>
    <w:rsid w:val="007A1BA1"/>
    <w:rsid w:val="007A21FC"/>
    <w:rsid w:val="007A29AE"/>
    <w:rsid w:val="007A41BF"/>
    <w:rsid w:val="007A508C"/>
    <w:rsid w:val="007A59DB"/>
    <w:rsid w:val="007A6379"/>
    <w:rsid w:val="007A765B"/>
    <w:rsid w:val="007A7B82"/>
    <w:rsid w:val="007B0BC3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79D"/>
    <w:rsid w:val="007C1822"/>
    <w:rsid w:val="007C1C5F"/>
    <w:rsid w:val="007C3590"/>
    <w:rsid w:val="007C3D9D"/>
    <w:rsid w:val="007C4115"/>
    <w:rsid w:val="007C4F3C"/>
    <w:rsid w:val="007C596F"/>
    <w:rsid w:val="007C649E"/>
    <w:rsid w:val="007C6FBB"/>
    <w:rsid w:val="007C6FF4"/>
    <w:rsid w:val="007C7265"/>
    <w:rsid w:val="007D0557"/>
    <w:rsid w:val="007D22EE"/>
    <w:rsid w:val="007D287C"/>
    <w:rsid w:val="007D3000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4B7F"/>
    <w:rsid w:val="007E4D97"/>
    <w:rsid w:val="007E5327"/>
    <w:rsid w:val="007E63EA"/>
    <w:rsid w:val="007E643C"/>
    <w:rsid w:val="007E6E31"/>
    <w:rsid w:val="007F0B18"/>
    <w:rsid w:val="007F1103"/>
    <w:rsid w:val="007F14C2"/>
    <w:rsid w:val="007F16CF"/>
    <w:rsid w:val="007F2690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00F2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26AA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67A9"/>
    <w:rsid w:val="0084760B"/>
    <w:rsid w:val="00847C0D"/>
    <w:rsid w:val="008529CC"/>
    <w:rsid w:val="008531CA"/>
    <w:rsid w:val="00853AD4"/>
    <w:rsid w:val="008541ED"/>
    <w:rsid w:val="008545C9"/>
    <w:rsid w:val="008547C7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212B"/>
    <w:rsid w:val="00863A17"/>
    <w:rsid w:val="00863CF0"/>
    <w:rsid w:val="00863ECC"/>
    <w:rsid w:val="00865BA5"/>
    <w:rsid w:val="00865C3A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09A1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1A7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47D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69A7"/>
    <w:rsid w:val="008E7724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006"/>
    <w:rsid w:val="0090109E"/>
    <w:rsid w:val="0090178C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6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807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3FAB"/>
    <w:rsid w:val="009443E8"/>
    <w:rsid w:val="009446D7"/>
    <w:rsid w:val="00944EAC"/>
    <w:rsid w:val="009452FD"/>
    <w:rsid w:val="0094639D"/>
    <w:rsid w:val="00946F4B"/>
    <w:rsid w:val="00947B41"/>
    <w:rsid w:val="00950746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32E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1739"/>
    <w:rsid w:val="00982C69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29C7"/>
    <w:rsid w:val="009A3B7E"/>
    <w:rsid w:val="009A3EC9"/>
    <w:rsid w:val="009A6DD8"/>
    <w:rsid w:val="009A7B56"/>
    <w:rsid w:val="009B0771"/>
    <w:rsid w:val="009B1BDE"/>
    <w:rsid w:val="009B1C81"/>
    <w:rsid w:val="009B2E17"/>
    <w:rsid w:val="009B2FB2"/>
    <w:rsid w:val="009B4590"/>
    <w:rsid w:val="009B5B34"/>
    <w:rsid w:val="009B62CC"/>
    <w:rsid w:val="009B73E1"/>
    <w:rsid w:val="009C0005"/>
    <w:rsid w:val="009C0316"/>
    <w:rsid w:val="009C07BD"/>
    <w:rsid w:val="009C1005"/>
    <w:rsid w:val="009C16A7"/>
    <w:rsid w:val="009C194B"/>
    <w:rsid w:val="009C1A81"/>
    <w:rsid w:val="009C2489"/>
    <w:rsid w:val="009C2921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3F2B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02F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9EA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446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6C75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0A4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6D0B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42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55ED"/>
    <w:rsid w:val="00A774DA"/>
    <w:rsid w:val="00A77EC3"/>
    <w:rsid w:val="00A80580"/>
    <w:rsid w:val="00A8066C"/>
    <w:rsid w:val="00A80F09"/>
    <w:rsid w:val="00A8127D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91B"/>
    <w:rsid w:val="00A92F67"/>
    <w:rsid w:val="00A9350A"/>
    <w:rsid w:val="00A9377A"/>
    <w:rsid w:val="00A94620"/>
    <w:rsid w:val="00A9540F"/>
    <w:rsid w:val="00A9687D"/>
    <w:rsid w:val="00A970C1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344"/>
    <w:rsid w:val="00AB05D6"/>
    <w:rsid w:val="00AB0FE5"/>
    <w:rsid w:val="00AB135B"/>
    <w:rsid w:val="00AB1A68"/>
    <w:rsid w:val="00AB2372"/>
    <w:rsid w:val="00AB288D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08B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C83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021C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2EE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6F35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0F9E"/>
    <w:rsid w:val="00B210BD"/>
    <w:rsid w:val="00B2265B"/>
    <w:rsid w:val="00B23C14"/>
    <w:rsid w:val="00B25CA4"/>
    <w:rsid w:val="00B26535"/>
    <w:rsid w:val="00B301EB"/>
    <w:rsid w:val="00B30818"/>
    <w:rsid w:val="00B30AC7"/>
    <w:rsid w:val="00B3109C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6F9C"/>
    <w:rsid w:val="00B5004D"/>
    <w:rsid w:val="00B5042A"/>
    <w:rsid w:val="00B50662"/>
    <w:rsid w:val="00B50717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01D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0DDF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550"/>
    <w:rsid w:val="00B93655"/>
    <w:rsid w:val="00B940F3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1F30"/>
    <w:rsid w:val="00BC31C5"/>
    <w:rsid w:val="00BC3817"/>
    <w:rsid w:val="00BC4039"/>
    <w:rsid w:val="00BC45D5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96D"/>
    <w:rsid w:val="00BD5D9B"/>
    <w:rsid w:val="00BD7CB3"/>
    <w:rsid w:val="00BE09B2"/>
    <w:rsid w:val="00BE0A6A"/>
    <w:rsid w:val="00BE2EB5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E7CE4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89A"/>
    <w:rsid w:val="00C048A2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03A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6BE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136D"/>
    <w:rsid w:val="00C72B42"/>
    <w:rsid w:val="00C73773"/>
    <w:rsid w:val="00C73CA8"/>
    <w:rsid w:val="00C7406E"/>
    <w:rsid w:val="00C7414A"/>
    <w:rsid w:val="00C74615"/>
    <w:rsid w:val="00C74A0E"/>
    <w:rsid w:val="00C75FC4"/>
    <w:rsid w:val="00C76478"/>
    <w:rsid w:val="00C766A1"/>
    <w:rsid w:val="00C766C4"/>
    <w:rsid w:val="00C768E5"/>
    <w:rsid w:val="00C76909"/>
    <w:rsid w:val="00C77638"/>
    <w:rsid w:val="00C802D6"/>
    <w:rsid w:val="00C8047D"/>
    <w:rsid w:val="00C804E8"/>
    <w:rsid w:val="00C80F0D"/>
    <w:rsid w:val="00C825B0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5E1D"/>
    <w:rsid w:val="00C875F8"/>
    <w:rsid w:val="00C87C8A"/>
    <w:rsid w:val="00C87F2B"/>
    <w:rsid w:val="00C911B6"/>
    <w:rsid w:val="00C9171A"/>
    <w:rsid w:val="00C918C6"/>
    <w:rsid w:val="00C91B56"/>
    <w:rsid w:val="00C928D6"/>
    <w:rsid w:val="00C93EBF"/>
    <w:rsid w:val="00C943DD"/>
    <w:rsid w:val="00C943E9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6C3"/>
    <w:rsid w:val="00CA5A92"/>
    <w:rsid w:val="00CA6265"/>
    <w:rsid w:val="00CA653F"/>
    <w:rsid w:val="00CA746D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1CBA"/>
    <w:rsid w:val="00CD2498"/>
    <w:rsid w:val="00CD3478"/>
    <w:rsid w:val="00CD36FD"/>
    <w:rsid w:val="00CD3810"/>
    <w:rsid w:val="00CD46CA"/>
    <w:rsid w:val="00CD5D01"/>
    <w:rsid w:val="00CD796F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3CCD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60E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6C77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0516"/>
    <w:rsid w:val="00D416FE"/>
    <w:rsid w:val="00D43293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264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013"/>
    <w:rsid w:val="00D637B9"/>
    <w:rsid w:val="00D63938"/>
    <w:rsid w:val="00D67D75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4D9D"/>
    <w:rsid w:val="00D85455"/>
    <w:rsid w:val="00D8639F"/>
    <w:rsid w:val="00D863DC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17E2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037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B7FB6"/>
    <w:rsid w:val="00DC0611"/>
    <w:rsid w:val="00DC2F87"/>
    <w:rsid w:val="00DC31E5"/>
    <w:rsid w:val="00DC447E"/>
    <w:rsid w:val="00DC45AA"/>
    <w:rsid w:val="00DC478F"/>
    <w:rsid w:val="00DC4875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3923"/>
    <w:rsid w:val="00DD441D"/>
    <w:rsid w:val="00DD464C"/>
    <w:rsid w:val="00DD5EF2"/>
    <w:rsid w:val="00DD753F"/>
    <w:rsid w:val="00DD791B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0F2"/>
    <w:rsid w:val="00DF5548"/>
    <w:rsid w:val="00DF5A72"/>
    <w:rsid w:val="00DF669D"/>
    <w:rsid w:val="00DF6B4C"/>
    <w:rsid w:val="00DF7771"/>
    <w:rsid w:val="00DF797A"/>
    <w:rsid w:val="00E0011D"/>
    <w:rsid w:val="00E0104F"/>
    <w:rsid w:val="00E01E20"/>
    <w:rsid w:val="00E0241A"/>
    <w:rsid w:val="00E025A9"/>
    <w:rsid w:val="00E027E9"/>
    <w:rsid w:val="00E03158"/>
    <w:rsid w:val="00E034C3"/>
    <w:rsid w:val="00E03D54"/>
    <w:rsid w:val="00E04005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026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73FA"/>
    <w:rsid w:val="00E5092A"/>
    <w:rsid w:val="00E50B38"/>
    <w:rsid w:val="00E51BDE"/>
    <w:rsid w:val="00E52256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253"/>
    <w:rsid w:val="00E74E00"/>
    <w:rsid w:val="00E74F73"/>
    <w:rsid w:val="00E75997"/>
    <w:rsid w:val="00E75DA7"/>
    <w:rsid w:val="00E76C8D"/>
    <w:rsid w:val="00E76DDD"/>
    <w:rsid w:val="00E76E37"/>
    <w:rsid w:val="00E77B5C"/>
    <w:rsid w:val="00E81C89"/>
    <w:rsid w:val="00E81E48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E7B"/>
    <w:rsid w:val="00EA7FB8"/>
    <w:rsid w:val="00EB07F2"/>
    <w:rsid w:val="00EB09F7"/>
    <w:rsid w:val="00EB291F"/>
    <w:rsid w:val="00EB2CBE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351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136"/>
    <w:rsid w:val="00ED488C"/>
    <w:rsid w:val="00ED4A99"/>
    <w:rsid w:val="00ED69F3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4619"/>
    <w:rsid w:val="00EE55CC"/>
    <w:rsid w:val="00EE59E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EF7EF6"/>
    <w:rsid w:val="00F005D1"/>
    <w:rsid w:val="00F0133E"/>
    <w:rsid w:val="00F01503"/>
    <w:rsid w:val="00F01632"/>
    <w:rsid w:val="00F01720"/>
    <w:rsid w:val="00F01B41"/>
    <w:rsid w:val="00F023D0"/>
    <w:rsid w:val="00F0314B"/>
    <w:rsid w:val="00F034C6"/>
    <w:rsid w:val="00F038A5"/>
    <w:rsid w:val="00F05699"/>
    <w:rsid w:val="00F06119"/>
    <w:rsid w:val="00F062F1"/>
    <w:rsid w:val="00F06F39"/>
    <w:rsid w:val="00F07287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4AB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633F"/>
    <w:rsid w:val="00F2788E"/>
    <w:rsid w:val="00F309AB"/>
    <w:rsid w:val="00F30C1D"/>
    <w:rsid w:val="00F30D42"/>
    <w:rsid w:val="00F31333"/>
    <w:rsid w:val="00F32717"/>
    <w:rsid w:val="00F327D0"/>
    <w:rsid w:val="00F332E6"/>
    <w:rsid w:val="00F33F0F"/>
    <w:rsid w:val="00F3442D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87D"/>
    <w:rsid w:val="00F61B4C"/>
    <w:rsid w:val="00F61C50"/>
    <w:rsid w:val="00F621C4"/>
    <w:rsid w:val="00F62617"/>
    <w:rsid w:val="00F626D7"/>
    <w:rsid w:val="00F62752"/>
    <w:rsid w:val="00F63CDA"/>
    <w:rsid w:val="00F643FC"/>
    <w:rsid w:val="00F647C9"/>
    <w:rsid w:val="00F6511E"/>
    <w:rsid w:val="00F651BB"/>
    <w:rsid w:val="00F65C46"/>
    <w:rsid w:val="00F66789"/>
    <w:rsid w:val="00F66B29"/>
    <w:rsid w:val="00F676A0"/>
    <w:rsid w:val="00F70B12"/>
    <w:rsid w:val="00F714A9"/>
    <w:rsid w:val="00F71F8F"/>
    <w:rsid w:val="00F736A6"/>
    <w:rsid w:val="00F73E07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56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42B1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0B31"/>
    <w:rsid w:val="00FF1B86"/>
    <w:rsid w:val="00FF21D6"/>
    <w:rsid w:val="00FF21EA"/>
    <w:rsid w:val="00FF27ED"/>
    <w:rsid w:val="00FF2AEC"/>
    <w:rsid w:val="00FF2CFC"/>
    <w:rsid w:val="00FF3413"/>
    <w:rsid w:val="00FF35B0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43E5D3A3"/>
  <w15:docId w15:val="{EBA0F657-C01D-4B70-BDAF-164564F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AB708B"/>
    <w:pPr>
      <w:suppressAutoHyphens/>
      <w:spacing w:before="120" w:after="120"/>
    </w:pPr>
  </w:style>
  <w:style w:type="paragraph" w:styleId="Heading1">
    <w:name w:val="heading 1"/>
    <w:aliases w:val="H1 Title"/>
    <w:next w:val="Normal"/>
    <w:link w:val="Heading1Char"/>
    <w:uiPriority w:val="4"/>
    <w:qFormat/>
    <w:rsid w:val="00B956F3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25CA4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A69" w:themeColor="accent6" w:themeShade="BF"/>
      <w:spacing w:val="-10"/>
      <w:sz w:val="32"/>
      <w:szCs w:val="20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F174AB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A69" w:themeColor="accent6" w:themeShade="BF"/>
      <w:sz w:val="42"/>
      <w:szCs w:val="42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F174AB"/>
    <w:pPr>
      <w:keepNext/>
      <w:keepLines/>
      <w:spacing w:before="240" w:after="0" w:line="216" w:lineRule="auto"/>
      <w:outlineLvl w:val="3"/>
    </w:pPr>
    <w:rPr>
      <w:rFonts w:eastAsiaTheme="majorEastAsia" w:cstheme="majorBidi"/>
      <w:b/>
      <w:color w:val="003A69" w:themeColor="accent6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956F3"/>
    <w:rPr>
      <w:rFonts w:eastAsiaTheme="majorEastAsia" w:cstheme="majorBidi"/>
      <w:b/>
      <w:color w:val="003A69" w:themeColor="accent6" w:themeShade="BF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25CA4"/>
    <w:rPr>
      <w:rFonts w:asciiTheme="minorHAnsi" w:eastAsiaTheme="majorEastAsia" w:hAnsiTheme="minorHAnsi" w:cstheme="majorBidi"/>
      <w:b/>
      <w:color w:val="003A69" w:themeColor="accent6" w:themeShade="BF"/>
      <w:spacing w:val="-10"/>
      <w:sz w:val="32"/>
      <w:szCs w:val="20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4B68DF"/>
    <w:rPr>
      <w:caps/>
      <w:color w:val="000000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0000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F174AB"/>
    <w:rPr>
      <w:rFonts w:asciiTheme="minorHAnsi" w:eastAsiaTheme="majorEastAsia" w:hAnsiTheme="minorHAnsi" w:cstheme="majorBidi"/>
      <w:color w:val="003A69" w:themeColor="accent6" w:themeShade="BF"/>
      <w:sz w:val="42"/>
      <w:szCs w:val="42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F174AB"/>
    <w:rPr>
      <w:rFonts w:eastAsiaTheme="majorEastAsia" w:cstheme="majorBidi"/>
      <w:b/>
      <w:color w:val="003A69" w:themeColor="accent6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0000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7F7F7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C33ED3"/>
    <w:pPr>
      <w:spacing w:before="240" w:after="240"/>
      <w:ind w:left="432" w:right="432"/>
    </w:pPr>
    <w:rPr>
      <w:rFonts w:asciiTheme="minorHAnsi" w:hAnsiTheme="minorHAnsi"/>
      <w:i/>
      <w:color w:val="003A69" w:themeColor="accent6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C33ED3"/>
    <w:rPr>
      <w:rFonts w:asciiTheme="minorHAnsi" w:hAnsiTheme="minorHAnsi"/>
      <w:i/>
      <w:color w:val="003A69" w:themeColor="accent6" w:themeShade="BF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ImageTableChartTitle">
    <w:name w:val="Image Table Chart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0000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customStyle="1" w:styleId="ParagraphBackground">
    <w:name w:val="Paragraph Background"/>
    <w:basedOn w:val="Normal"/>
    <w:uiPriority w:val="1"/>
    <w:qFormat/>
    <w:rsid w:val="003145DF"/>
    <w:pPr>
      <w:pBdr>
        <w:top w:val="single" w:sz="4" w:space="5" w:color="E5E5E5" w:themeColor="text1" w:themeTint="1A"/>
        <w:left w:val="single" w:sz="4" w:space="5" w:color="E5E5E5" w:themeColor="text1" w:themeTint="1A"/>
        <w:bottom w:val="single" w:sz="4" w:space="8" w:color="E5E5E5" w:themeColor="text1" w:themeTint="1A"/>
        <w:right w:val="single" w:sz="4" w:space="8" w:color="E5E5E5" w:themeColor="text1" w:themeTint="1A"/>
      </w:pBdr>
      <w:shd w:val="clear" w:color="auto" w:fill="E9F5FF" w:themeFill="accent1" w:themeFillTint="1A"/>
    </w:pPr>
  </w:style>
  <w:style w:type="character" w:customStyle="1" w:styleId="SubtitleH1">
    <w:name w:val="Subtitle H1"/>
    <w:basedOn w:val="DefaultParagraphFont"/>
    <w:uiPriority w:val="1"/>
    <w:qFormat/>
    <w:rsid w:val="00824D8A"/>
    <w:rPr>
      <w:rFonts w:asciiTheme="minorHAnsi" w:hAnsiTheme="minorHAnsi" w:cstheme="majorBidi"/>
      <w:b/>
      <w:caps/>
      <w:color w:val="003A69" w:themeColor="accent6" w:themeShade="BF"/>
      <w:spacing w:val="20"/>
      <w:sz w:val="28"/>
      <w:szCs w:val="48"/>
    </w:rPr>
  </w:style>
  <w:style w:type="table" w:styleId="PlainTable1">
    <w:name w:val="Plain Table 1"/>
    <w:basedOn w:val="TableNormal"/>
    <w:uiPriority w:val="41"/>
    <w:rsid w:val="007A21F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itation">
    <w:name w:val="Citation"/>
    <w:basedOn w:val="Normal"/>
    <w:link w:val="CitationChar"/>
    <w:uiPriority w:val="1"/>
    <w:qFormat/>
    <w:rsid w:val="009A29C7"/>
    <w:rPr>
      <w:i/>
      <w:sz w:val="16"/>
    </w:rPr>
  </w:style>
  <w:style w:type="character" w:customStyle="1" w:styleId="CitationChar">
    <w:name w:val="Citation Char"/>
    <w:basedOn w:val="DefaultParagraphFont"/>
    <w:link w:val="Citation"/>
    <w:uiPriority w:val="1"/>
    <w:rsid w:val="009A29C7"/>
    <w:rPr>
      <w:i/>
      <w:sz w:val="16"/>
    </w:rPr>
  </w:style>
  <w:style w:type="character" w:styleId="CommentReference">
    <w:name w:val="annotation reference"/>
    <w:basedOn w:val="DefaultParagraphFont"/>
    <w:semiHidden/>
    <w:unhideWhenUsed/>
    <w:locked/>
    <w:rsid w:val="006D17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6D17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1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6D1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1704"/>
    <w:rPr>
      <w:b/>
      <w:bCs/>
      <w:sz w:val="20"/>
      <w:szCs w:val="20"/>
    </w:rPr>
  </w:style>
  <w:style w:type="paragraph" w:customStyle="1" w:styleId="Clarification">
    <w:name w:val="Clarification"/>
    <w:basedOn w:val="Normal"/>
    <w:link w:val="ClarificationChar"/>
    <w:uiPriority w:val="1"/>
    <w:qFormat/>
    <w:rsid w:val="00865C3A"/>
    <w:rPr>
      <w:i/>
      <w:color w:val="004E8D" w:themeColor="accent6"/>
    </w:rPr>
  </w:style>
  <w:style w:type="character" w:customStyle="1" w:styleId="ClarificationChar">
    <w:name w:val="Clarification Char"/>
    <w:basedOn w:val="DefaultParagraphFont"/>
    <w:link w:val="Clarification"/>
    <w:uiPriority w:val="1"/>
    <w:rsid w:val="00865C3A"/>
    <w:rPr>
      <w:i/>
      <w:color w:val="004E8D" w:themeColor="accent6"/>
    </w:rPr>
  </w:style>
  <w:style w:type="paragraph" w:styleId="Revision">
    <w:name w:val="Revision"/>
    <w:hidden/>
    <w:uiPriority w:val="99"/>
    <w:semiHidden/>
    <w:rsid w:val="00AE32EE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C766A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25CA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786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lth.state.mn.u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alth.ophp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aboard.org/accreditation-recognition/version-2022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visor.mn.gov/statutes/cite/145A.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wle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-mn-bluegre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32A3FE"/>
      </a:accent1>
      <a:accent2>
        <a:srgbClr val="78BE21"/>
      </a:accent2>
      <a:accent3>
        <a:srgbClr val="4CDAE4"/>
      </a:accent3>
      <a:accent4>
        <a:srgbClr val="0070CB"/>
      </a:accent4>
      <a:accent5>
        <a:srgbClr val="AFE56C"/>
      </a:accent5>
      <a:accent6>
        <a:srgbClr val="004E8D"/>
      </a:accent6>
      <a:hlink>
        <a:srgbClr val="0070CB"/>
      </a:hlink>
      <a:folHlink>
        <a:srgbClr val="0070CB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D7EC5451-94FB-4130-B4D5-41E5E6F9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17</TotalTime>
  <Pages>3</Pages>
  <Words>381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checklist for your community health improvement plan</vt:lpstr>
    </vt:vector>
  </TitlesOfParts>
  <Company>Minnesota Department of Health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checklist for your community health improvement plan</dc:title>
  <dc:subject>Review checklist for your community health improvement plan</dc:subject>
  <dc:creator>Center for Public Health Practice - Minnesota Dept. of Health</dc:creator>
  <cp:keywords/>
  <dc:description/>
  <cp:lastModifiedBy>HawleyMarch, Allie (She/Her/Hers) (MDH)</cp:lastModifiedBy>
  <cp:revision>9</cp:revision>
  <cp:lastPrinted>2018-12-05T16:40:00Z</cp:lastPrinted>
  <dcterms:created xsi:type="dcterms:W3CDTF">2024-01-29T21:06:00Z</dcterms:created>
  <dcterms:modified xsi:type="dcterms:W3CDTF">2024-01-29T21:50:00Z</dcterms:modified>
</cp:coreProperties>
</file>