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220" w14:textId="3FC64B1F" w:rsidR="00B94C9F" w:rsidRDefault="00B94C9F" w:rsidP="00B94C9F">
      <w:pPr>
        <w:pStyle w:val="LOGO"/>
      </w:pPr>
      <w:r>
        <w:drawing>
          <wp:inline distT="0" distB="0" distL="0" distR="0" wp14:anchorId="4A28DCEF" wp14:editId="1CB099A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18E">
        <w:drawing>
          <wp:anchor distT="0" distB="0" distL="114300" distR="114300" simplePos="0" relativeHeight="251658240" behindDoc="1" locked="0" layoutInCell="1" allowOverlap="1" wp14:anchorId="1FD1E0A2" wp14:editId="36C4EE9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05965" cy="359410"/>
            <wp:effectExtent l="0" t="0" r="0" b="2540"/>
            <wp:wrapNone/>
            <wp:docPr id="1" name="Picture 1" descr="Infection Control Assessment and Response Program (IC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fection Control Assessment and Response Program (ICAR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ABF1C" w14:textId="0283680E" w:rsidR="00747788" w:rsidRDefault="00B80E0E" w:rsidP="00A85B3A">
      <w:pPr>
        <w:pStyle w:val="Heading1"/>
        <w:spacing w:after="0"/>
      </w:pPr>
      <w:r w:rsidRPr="00EE20F0">
        <w:t>Environmental</w:t>
      </w:r>
      <w:r>
        <w:t xml:space="preserve"> Checklist for Monitoring Terminal Cleaning</w:t>
      </w:r>
    </w:p>
    <w:p w14:paraId="1F2E88AD" w14:textId="3C7EDD06" w:rsidR="00576571" w:rsidRPr="00576571" w:rsidRDefault="00576571" w:rsidP="00A85B3A">
      <w:pPr>
        <w:pStyle w:val="Subtitle"/>
        <w:spacing w:before="0"/>
      </w:pPr>
      <w:r>
        <w:t>MDH Icar Infection Prevention Audit Tools</w:t>
      </w:r>
    </w:p>
    <w:p w14:paraId="0C52DBD6" w14:textId="77777777" w:rsidR="00EE20F0" w:rsidRDefault="00B80E0E" w:rsidP="00EE20F0">
      <w:pPr>
        <w:spacing w:before="240"/>
      </w:pPr>
      <w:r w:rsidRPr="00B80E0E">
        <w:t>Selection of detergents and disinfectants should be according to institutional policies and procedures</w:t>
      </w:r>
      <w:r>
        <w:t>.</w:t>
      </w:r>
    </w:p>
    <w:p w14:paraId="6081263D" w14:textId="5B5CA5D6" w:rsidR="00482F86" w:rsidRPr="00EE20F0" w:rsidRDefault="00EE20F0" w:rsidP="00EE20F0">
      <w:pPr>
        <w:spacing w:after="240"/>
        <w:sectPr w:rsidR="00482F86" w:rsidRPr="00EE20F0" w:rsidSect="0074778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008" w:bottom="720" w:left="1008" w:header="576" w:footer="288" w:gutter="0"/>
          <w:cols w:space="720"/>
          <w:titlePg/>
          <w:docGrid w:linePitch="360"/>
        </w:sectPr>
      </w:pPr>
      <w:r w:rsidRPr="00EE20F0">
        <w:t>Nursing homes may choose to include identifiers of individual environmental services staff for feedback purposes.</w:t>
      </w:r>
    </w:p>
    <w:p w14:paraId="5F1532D7" w14:textId="0477B158" w:rsidR="00B80E0E" w:rsidRPr="00B80E0E" w:rsidRDefault="00B80E0E" w:rsidP="00B80E0E">
      <w:pPr>
        <w:rPr>
          <w:b/>
          <w:bCs/>
        </w:rPr>
      </w:pPr>
      <w:r w:rsidRPr="00B80E0E">
        <w:rPr>
          <w:b/>
          <w:bCs/>
        </w:rPr>
        <w:t>Initials of ES staff (optional):</w:t>
      </w:r>
      <w:r>
        <w:rPr>
          <w:b/>
          <w:bCs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</w:p>
    <w:p w14:paraId="4B4C5D83" w14:textId="77E80F98" w:rsidR="00B80E0E" w:rsidRPr="00B80E0E" w:rsidRDefault="00B80E0E" w:rsidP="00B80E0E">
      <w:pPr>
        <w:rPr>
          <w:b/>
          <w:bCs/>
        </w:rPr>
      </w:pPr>
      <w:r w:rsidRPr="00B80E0E">
        <w:rPr>
          <w:b/>
          <w:bCs/>
        </w:rPr>
        <w:t>Date:</w:t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</w:p>
    <w:p w14:paraId="4BAC4AA6" w14:textId="1CAB2F8F" w:rsidR="00B80E0E" w:rsidRPr="00B80E0E" w:rsidRDefault="00B80E0E" w:rsidP="00B80E0E">
      <w:pPr>
        <w:rPr>
          <w:b/>
          <w:bCs/>
        </w:rPr>
      </w:pPr>
      <w:r w:rsidRPr="00B80E0E">
        <w:rPr>
          <w:b/>
          <w:bCs/>
        </w:rPr>
        <w:t>Unit:</w:t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</w:p>
    <w:p w14:paraId="00DE6BFD" w14:textId="77777777" w:rsidR="00482F86" w:rsidRDefault="00B80E0E" w:rsidP="00482F86">
      <w:pPr>
        <w:spacing w:before="0" w:after="0"/>
      </w:pPr>
      <w:r w:rsidRPr="00B80E0E">
        <w:rPr>
          <w:b/>
          <w:bCs/>
        </w:rPr>
        <w:t>Room Number:</w:t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Pr="00B80E0E">
        <w:rPr>
          <w:b/>
          <w:bCs/>
          <w:u w:val="single"/>
        </w:rPr>
        <w:tab/>
      </w:r>
      <w:r w:rsidR="00482F86">
        <w:rPr>
          <w:b/>
          <w:bCs/>
          <w:u w:val="single"/>
        </w:rPr>
        <w:br w:type="column"/>
      </w:r>
      <w:r w:rsidR="00482F86" w:rsidRPr="00B80E0E">
        <w:rPr>
          <w:b/>
          <w:bCs/>
        </w:rPr>
        <w:t>Monitoring method used:</w:t>
      </w:r>
      <w:bookmarkStart w:id="0" w:name="RANGE!M1:M5"/>
    </w:p>
    <w:p w14:paraId="1E729276" w14:textId="67BE0BFA" w:rsidR="00482F86" w:rsidRDefault="00482F86" w:rsidP="00482F86">
      <w:pPr>
        <w:spacing w:before="0" w:after="0"/>
      </w:pPr>
      <w:r>
        <w:rPr>
          <w:rFonts w:cs="Calibri"/>
        </w:rPr>
        <w:t>□</w:t>
      </w:r>
      <w:r>
        <w:t xml:space="preserve"> </w:t>
      </w:r>
      <w:r w:rsidRPr="00E84B8D">
        <w:rPr>
          <w:rFonts w:eastAsia="Times New Roman" w:cs="Calibri"/>
          <w:color w:val="000000"/>
        </w:rPr>
        <w:t>Direct observation</w:t>
      </w:r>
      <w:bookmarkEnd w:id="0"/>
    </w:p>
    <w:p w14:paraId="060BC30D" w14:textId="455D116E" w:rsidR="00482F86" w:rsidRDefault="00482F86" w:rsidP="00482F86">
      <w:pPr>
        <w:spacing w:before="0" w:after="0"/>
      </w:pPr>
      <w:r>
        <w:rPr>
          <w:rFonts w:cs="Calibri"/>
        </w:rPr>
        <w:t>□</w:t>
      </w:r>
      <w:r>
        <w:t xml:space="preserve"> Fluorescent gel</w:t>
      </w:r>
    </w:p>
    <w:p w14:paraId="0C4684EB" w14:textId="77777777" w:rsidR="00482F86" w:rsidRDefault="00482F86" w:rsidP="00482F86">
      <w:pPr>
        <w:spacing w:before="0" w:after="0"/>
      </w:pPr>
      <w:r>
        <w:rPr>
          <w:rFonts w:cs="Calibri"/>
        </w:rPr>
        <w:t>□</w:t>
      </w:r>
      <w:r>
        <w:t xml:space="preserve"> Swab cultures</w:t>
      </w:r>
    </w:p>
    <w:p w14:paraId="0865F1E2" w14:textId="77777777" w:rsidR="00482F86" w:rsidRDefault="00482F86" w:rsidP="00482F86">
      <w:pPr>
        <w:spacing w:before="0" w:after="0"/>
      </w:pPr>
      <w:r>
        <w:rPr>
          <w:rFonts w:cs="Calibri"/>
        </w:rPr>
        <w:t>□</w:t>
      </w:r>
      <w:r>
        <w:t xml:space="preserve"> ATP system</w:t>
      </w:r>
    </w:p>
    <w:p w14:paraId="49FD1BA8" w14:textId="77777777" w:rsidR="00482F86" w:rsidRDefault="00482F86" w:rsidP="00CF25A5">
      <w:pPr>
        <w:spacing w:before="0"/>
      </w:pPr>
      <w:r>
        <w:rPr>
          <w:rFonts w:cs="Calibri"/>
        </w:rPr>
        <w:t>□</w:t>
      </w:r>
      <w:r>
        <w:t xml:space="preserve"> Agar slide cultures</w:t>
      </w:r>
    </w:p>
    <w:p w14:paraId="3015D7F2" w14:textId="77777777" w:rsidR="00482F86" w:rsidRDefault="00482F86" w:rsidP="00B80E0E">
      <w:pPr>
        <w:spacing w:before="240" w:after="240"/>
        <w:rPr>
          <w:b/>
          <w:bCs/>
        </w:rPr>
        <w:sectPr w:rsidR="00482F86" w:rsidSect="00482F86">
          <w:type w:val="continuous"/>
          <w:pgSz w:w="12240" w:h="15840"/>
          <w:pgMar w:top="720" w:right="1008" w:bottom="720" w:left="1008" w:header="576" w:footer="288" w:gutter="0"/>
          <w:cols w:num="2" w:space="288" w:equalWidth="0">
            <w:col w:w="6912" w:space="288"/>
            <w:col w:w="3024"/>
          </w:cols>
          <w:titlePg/>
          <w:docGrid w:linePitch="360"/>
        </w:sectPr>
      </w:pPr>
    </w:p>
    <w:p w14:paraId="2EB97D70" w14:textId="7224599C" w:rsidR="00B80E0E" w:rsidRDefault="00B80E0E" w:rsidP="00C57EAE">
      <w:pPr>
        <w:spacing w:before="240"/>
        <w:rPr>
          <w:b/>
          <w:bCs/>
        </w:rPr>
      </w:pPr>
      <w:r w:rsidRPr="00B80E0E">
        <w:rPr>
          <w:b/>
          <w:bCs/>
        </w:rPr>
        <w:t>Evaluate the following priority</w:t>
      </w:r>
      <w:r w:rsidR="00CF25A5">
        <w:rPr>
          <w:b/>
          <w:bCs/>
        </w:rPr>
        <w:t xml:space="preserve"> high touch</w:t>
      </w:r>
      <w:r w:rsidRPr="00B80E0E">
        <w:rPr>
          <w:b/>
          <w:bCs/>
        </w:rPr>
        <w:t xml:space="preserve"> sites</w:t>
      </w:r>
      <w:r w:rsidR="00CF25A5">
        <w:rPr>
          <w:b/>
          <w:bCs/>
        </w:rPr>
        <w:t xml:space="preserve"> most frequently touched in</w:t>
      </w:r>
      <w:r w:rsidRPr="00B80E0E">
        <w:rPr>
          <w:b/>
          <w:bCs/>
        </w:rPr>
        <w:t xml:space="preserve"> each resident room.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1257"/>
        <w:gridCol w:w="3150"/>
        <w:gridCol w:w="1937"/>
        <w:gridCol w:w="1937"/>
        <w:gridCol w:w="1937"/>
      </w:tblGrid>
      <w:tr w:rsidR="00482F86" w14:paraId="3448BC2D" w14:textId="77777777" w:rsidTr="00CF2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AD9D52A" w14:textId="320A3A9E" w:rsidR="00482F86" w:rsidRPr="00CF25A5" w:rsidRDefault="00482F86" w:rsidP="00482F86">
            <w:pPr>
              <w:rPr>
                <w:b/>
                <w:bCs w:val="0"/>
                <w:sz w:val="20"/>
                <w:szCs w:val="18"/>
              </w:rPr>
            </w:pPr>
            <w:r w:rsidRPr="00CF25A5">
              <w:rPr>
                <w:b/>
                <w:bCs w:val="0"/>
                <w:sz w:val="20"/>
                <w:szCs w:val="18"/>
              </w:rPr>
              <w:t>High Touch Surface</w:t>
            </w:r>
            <w:r w:rsidR="00CF25A5">
              <w:rPr>
                <w:b/>
                <w:bCs w:val="0"/>
                <w:sz w:val="20"/>
                <w:szCs w:val="18"/>
              </w:rPr>
              <w:t xml:space="preserve"> Types</w:t>
            </w:r>
          </w:p>
        </w:tc>
        <w:tc>
          <w:tcPr>
            <w:tcW w:w="3150" w:type="dxa"/>
          </w:tcPr>
          <w:p w14:paraId="28985882" w14:textId="778E9FFE" w:rsidR="00482F86" w:rsidRPr="00CF25A5" w:rsidRDefault="00482F86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 w:rsidRPr="00CF25A5">
              <w:rPr>
                <w:b/>
                <w:bCs w:val="0"/>
                <w:sz w:val="20"/>
                <w:szCs w:val="18"/>
              </w:rPr>
              <w:t>High Touch Room Surfaces</w:t>
            </w:r>
          </w:p>
        </w:tc>
        <w:tc>
          <w:tcPr>
            <w:tcW w:w="1937" w:type="dxa"/>
          </w:tcPr>
          <w:p w14:paraId="41D389C5" w14:textId="52551B8B" w:rsidR="00482F86" w:rsidRPr="00CF25A5" w:rsidRDefault="00482F86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 w:rsidRPr="00CF25A5">
              <w:rPr>
                <w:b/>
                <w:bCs w:val="0"/>
                <w:sz w:val="20"/>
                <w:szCs w:val="18"/>
              </w:rPr>
              <w:t>Cleaned</w:t>
            </w:r>
          </w:p>
        </w:tc>
        <w:tc>
          <w:tcPr>
            <w:tcW w:w="1937" w:type="dxa"/>
          </w:tcPr>
          <w:p w14:paraId="6B59186A" w14:textId="11BB1D9B" w:rsidR="00482F86" w:rsidRPr="00CF25A5" w:rsidRDefault="00482F86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 w:rsidRPr="00CF25A5">
              <w:rPr>
                <w:b/>
                <w:bCs w:val="0"/>
                <w:sz w:val="20"/>
                <w:szCs w:val="18"/>
              </w:rPr>
              <w:t>Not Cleaned</w:t>
            </w:r>
          </w:p>
        </w:tc>
        <w:tc>
          <w:tcPr>
            <w:tcW w:w="1937" w:type="dxa"/>
          </w:tcPr>
          <w:p w14:paraId="540A9025" w14:textId="40ACACB7" w:rsidR="00482F86" w:rsidRPr="00CF25A5" w:rsidRDefault="00482F86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 w:rsidRPr="00CF25A5">
              <w:rPr>
                <w:b/>
                <w:bCs w:val="0"/>
                <w:sz w:val="20"/>
                <w:szCs w:val="18"/>
              </w:rPr>
              <w:t>Not Present in Room</w:t>
            </w:r>
          </w:p>
        </w:tc>
      </w:tr>
      <w:tr w:rsidR="00CF25A5" w14:paraId="2D7CB40E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shd w:val="clear" w:color="auto" w:fill="F2F2F2" w:themeFill="background1" w:themeFillShade="F2"/>
          </w:tcPr>
          <w:p w14:paraId="6567D0EE" w14:textId="4EC18407" w:rsidR="00CF25A5" w:rsidRPr="00482F86" w:rsidRDefault="00CF25A5" w:rsidP="00482F86">
            <w:pPr>
              <w:pStyle w:val="TableText-calibri10"/>
            </w:pPr>
            <w:r w:rsidRPr="00482F86">
              <w:t>High Touch I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07A93F2" w14:textId="5F7975B5" w:rsidR="00CF25A5" w:rsidRPr="00482F86" w:rsidRDefault="00CF25A5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Bed rails/controls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5AC71858" w14:textId="77883C34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2FDD8AA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7F6DAC6C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10FEA8AD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24144AA4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12FF672F" w14:textId="40858032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Tray table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98028FB" w14:textId="398A8AE6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4B0EFE4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2EFB4FA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A5" w14:paraId="19C98082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14999DC3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331D4BFF" w14:textId="5C93CABD" w:rsidR="00CF25A5" w:rsidRPr="00482F86" w:rsidRDefault="00CF25A5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IV pole (grab area)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445FC0F" w14:textId="6B263071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6BE3AA75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80F30A2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763E7113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shd w:val="clear" w:color="auto" w:fill="FFFFFF" w:themeFill="background1"/>
          </w:tcPr>
          <w:p w14:paraId="6253C3E8" w14:textId="63D1E097" w:rsidR="00CF25A5" w:rsidRPr="00482F86" w:rsidRDefault="00CF25A5" w:rsidP="00482F86">
            <w:pPr>
              <w:pStyle w:val="TableText-calibri10"/>
            </w:pPr>
            <w:r>
              <w:t>High Touch II</w:t>
            </w: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490BC5C0" w14:textId="763623EF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Call box/button</w:t>
            </w:r>
          </w:p>
        </w:tc>
        <w:tc>
          <w:tcPr>
            <w:tcW w:w="1937" w:type="dxa"/>
            <w:shd w:val="clear" w:color="auto" w:fill="FFFFFF" w:themeFill="background1"/>
          </w:tcPr>
          <w:p w14:paraId="428F7C77" w14:textId="05F953AD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15A6AB43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3604EE80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A5" w14:paraId="24B8DD50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5484D82B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2C62A457" w14:textId="1B71AC04" w:rsidR="00CF25A5" w:rsidRPr="00482F86" w:rsidRDefault="00CF25A5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Telephone</w:t>
            </w:r>
          </w:p>
        </w:tc>
        <w:tc>
          <w:tcPr>
            <w:tcW w:w="1937" w:type="dxa"/>
            <w:shd w:val="clear" w:color="auto" w:fill="FFFFFF" w:themeFill="background1"/>
          </w:tcPr>
          <w:p w14:paraId="0765C39D" w14:textId="63AE2F8A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660E1747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459FF64E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60B60D3B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630F0AC5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50D2C3B6" w14:textId="72E0C7BA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Bedside table handle</w:t>
            </w:r>
          </w:p>
        </w:tc>
        <w:tc>
          <w:tcPr>
            <w:tcW w:w="1937" w:type="dxa"/>
            <w:shd w:val="clear" w:color="auto" w:fill="FFFFFF" w:themeFill="background1"/>
          </w:tcPr>
          <w:p w14:paraId="531D170F" w14:textId="5F4763F6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1E0A7F15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13B9F9EF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427FD267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shd w:val="clear" w:color="auto" w:fill="F2F2F2" w:themeFill="background1" w:themeFillShade="F2"/>
          </w:tcPr>
          <w:p w14:paraId="43266E3E" w14:textId="4C770EC2" w:rsidR="009D03E6" w:rsidRPr="00482F86" w:rsidRDefault="009D03E6" w:rsidP="00482F86">
            <w:pPr>
              <w:pStyle w:val="TableText-calibri10"/>
            </w:pPr>
            <w:r>
              <w:t>High Touch III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79582C1B" w14:textId="345B2634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Chair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4602A40" w14:textId="40AAF3CF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6841980A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77299B7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3E6" w14:paraId="0938FF4E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2709F193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438553DE" w14:textId="27D567A4" w:rsidR="009D03E6" w:rsidRPr="00482F86" w:rsidRDefault="009D03E6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 xml:space="preserve">Room sink 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CEF3FB7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16C480B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2148B84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641A9F87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7C16F940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186516A5" w14:textId="40F5D4BF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Room light switch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79227E4C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B5418F4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44E1F7C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3E6" w14:paraId="0305CEA7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40E0DBF6" w14:textId="112E0C29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0D634995" w14:textId="31EF78E2" w:rsidR="009D03E6" w:rsidRPr="00482F86" w:rsidRDefault="009D03E6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Room inner doorknob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350A8B1B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70876A90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6101BC3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138D9990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shd w:val="clear" w:color="auto" w:fill="FFFFFF" w:themeFill="background1"/>
          </w:tcPr>
          <w:p w14:paraId="14BFCBA8" w14:textId="2E9546BB" w:rsidR="009D03E6" w:rsidRPr="00482F86" w:rsidRDefault="009D03E6" w:rsidP="00482F86">
            <w:pPr>
              <w:pStyle w:val="TableText-calibri10"/>
            </w:pPr>
            <w:r>
              <w:t>Bathroom Surfaces</w:t>
            </w: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1CF49E16" w14:textId="30EB3EF1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Bathroom inner doorknob/plate</w:t>
            </w:r>
          </w:p>
        </w:tc>
        <w:tc>
          <w:tcPr>
            <w:tcW w:w="1937" w:type="dxa"/>
            <w:shd w:val="clear" w:color="auto" w:fill="FFFFFF" w:themeFill="background1"/>
          </w:tcPr>
          <w:p w14:paraId="6F61725A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086CE806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550DF56F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3E6" w14:paraId="5C2A4101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30013254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38F4957C" w14:textId="6EA3B3C0" w:rsidR="009D03E6" w:rsidRPr="00482F86" w:rsidRDefault="009D03E6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Bathroom light switch</w:t>
            </w:r>
          </w:p>
        </w:tc>
        <w:tc>
          <w:tcPr>
            <w:tcW w:w="1937" w:type="dxa"/>
            <w:shd w:val="clear" w:color="auto" w:fill="FFFFFF" w:themeFill="background1"/>
          </w:tcPr>
          <w:p w14:paraId="1A178F24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14DB0A6F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322BFA33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113A6702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0088BABE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1870ACF8" w14:textId="1933D1FA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Bathroom handrails by toilet</w:t>
            </w:r>
          </w:p>
        </w:tc>
        <w:tc>
          <w:tcPr>
            <w:tcW w:w="1937" w:type="dxa"/>
            <w:shd w:val="clear" w:color="auto" w:fill="FFFFFF" w:themeFill="background1"/>
          </w:tcPr>
          <w:p w14:paraId="35A86470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1821E077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66ACE0D6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3E6" w14:paraId="254EF83E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429C70FE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06A79D57" w14:textId="740B15CB" w:rsidR="009D03E6" w:rsidRPr="00482F86" w:rsidRDefault="009D03E6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 xml:space="preserve">Bathroom sink </w:t>
            </w:r>
          </w:p>
        </w:tc>
        <w:tc>
          <w:tcPr>
            <w:tcW w:w="1937" w:type="dxa"/>
            <w:shd w:val="clear" w:color="auto" w:fill="FFFFFF" w:themeFill="background1"/>
          </w:tcPr>
          <w:p w14:paraId="674BB6A5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5EAABFF1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57925EE2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3C507862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2266AD5A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58151A2E" w14:textId="685012DE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Toilet seat</w:t>
            </w:r>
          </w:p>
        </w:tc>
        <w:tc>
          <w:tcPr>
            <w:tcW w:w="1937" w:type="dxa"/>
            <w:shd w:val="clear" w:color="auto" w:fill="FFFFFF" w:themeFill="background1"/>
          </w:tcPr>
          <w:p w14:paraId="3C9A314D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0262219B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09AFE77E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3E6" w14:paraId="7AC94CDF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5C62EE8A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5A66120D" w14:textId="62F0ADE1" w:rsidR="009D03E6" w:rsidRPr="00482F86" w:rsidRDefault="009D03E6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Toilet flush handle</w:t>
            </w:r>
          </w:p>
        </w:tc>
        <w:tc>
          <w:tcPr>
            <w:tcW w:w="1937" w:type="dxa"/>
            <w:shd w:val="clear" w:color="auto" w:fill="FFFFFF" w:themeFill="background1"/>
          </w:tcPr>
          <w:p w14:paraId="18CF6879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67E7A513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3CB4AFCE" w14:textId="77777777" w:rsidR="009D03E6" w:rsidRPr="00482F86" w:rsidRDefault="009D03E6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3E6" w14:paraId="74078638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FFFFF" w:themeFill="background1"/>
          </w:tcPr>
          <w:p w14:paraId="6B4ED75A" w14:textId="77777777" w:rsidR="009D03E6" w:rsidRPr="00482F86" w:rsidRDefault="009D03E6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FFFFF" w:themeFill="background1"/>
            <w:vAlign w:val="top"/>
          </w:tcPr>
          <w:p w14:paraId="4AA89979" w14:textId="464B8BC5" w:rsidR="009D03E6" w:rsidRPr="00482F86" w:rsidRDefault="009D03E6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Toilet bedpan cleaner</w:t>
            </w:r>
          </w:p>
        </w:tc>
        <w:tc>
          <w:tcPr>
            <w:tcW w:w="1937" w:type="dxa"/>
            <w:shd w:val="clear" w:color="auto" w:fill="FFFFFF" w:themeFill="background1"/>
          </w:tcPr>
          <w:p w14:paraId="41148183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4AB94E2A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FFFFF" w:themeFill="background1"/>
          </w:tcPr>
          <w:p w14:paraId="41F8775A" w14:textId="77777777" w:rsidR="009D03E6" w:rsidRPr="00482F86" w:rsidRDefault="009D03E6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1D2B8CAC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shd w:val="clear" w:color="auto" w:fill="F2F2F2" w:themeFill="background1" w:themeFillShade="F2"/>
          </w:tcPr>
          <w:p w14:paraId="480C2D8B" w14:textId="76C3D4B7" w:rsidR="00CF25A5" w:rsidRPr="00482F86" w:rsidRDefault="00CF25A5" w:rsidP="00482F86">
            <w:pPr>
              <w:pStyle w:val="TableText-calibri10"/>
            </w:pPr>
            <w:r>
              <w:t>Equipment Surfaces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163C0A56" w14:textId="5B3DE825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IV pump control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8653ABE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7E8B5905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42E31864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A5" w14:paraId="3C4F0332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55D2999F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0B5C4D2B" w14:textId="70FFBCA3" w:rsidR="00CF25A5" w:rsidRPr="00482F86" w:rsidRDefault="00CF25A5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Monitor controls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F092D61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4E1EDC5F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0F9055A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020BC59F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3306CE95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272FF67C" w14:textId="1DF4BA52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Monitor touch screen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760FAA0B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51FB4E46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0F6AB06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A5" w14:paraId="384AE3EF" w14:textId="77777777" w:rsidTr="009D0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348622C0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18EFF3E6" w14:textId="509C8E11" w:rsidR="00CF25A5" w:rsidRPr="00482F86" w:rsidRDefault="00CF25A5" w:rsidP="00482F8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86">
              <w:t>Monitor cables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486C715B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3458FBF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EA84424" w14:textId="77777777" w:rsidR="00CF25A5" w:rsidRPr="00482F86" w:rsidRDefault="00CF25A5" w:rsidP="00482F8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5A5" w14:paraId="7404C4EA" w14:textId="77777777" w:rsidTr="009D0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shd w:val="clear" w:color="auto" w:fill="F2F2F2" w:themeFill="background1" w:themeFillShade="F2"/>
          </w:tcPr>
          <w:p w14:paraId="2C8C4391" w14:textId="77777777" w:rsidR="00CF25A5" w:rsidRPr="00482F86" w:rsidRDefault="00CF25A5" w:rsidP="00482F86">
            <w:pPr>
              <w:pStyle w:val="TableText-calibri10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top"/>
          </w:tcPr>
          <w:p w14:paraId="1C08DAF5" w14:textId="51AD279C" w:rsidR="00CF25A5" w:rsidRPr="00482F86" w:rsidRDefault="00CF25A5" w:rsidP="00482F8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86">
              <w:t>Ventilator control panel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1AC4B535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76881AF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4F43B85E" w14:textId="77777777" w:rsidR="00CF25A5" w:rsidRPr="00482F86" w:rsidRDefault="00CF25A5" w:rsidP="00482F8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D7B32F" w14:textId="77777777" w:rsidR="00CF25A5" w:rsidRDefault="00BC28AE" w:rsidP="00A85B3A">
      <w:pPr>
        <w:pStyle w:val="AddressBlockDate"/>
        <w:spacing w:before="240" w:after="0"/>
      </w:pPr>
      <w:hyperlink r:id="rId17" w:history="1">
        <w:r w:rsidR="00280B77" w:rsidRPr="00F20B21">
          <w:rPr>
            <w:rStyle w:val="Hyperlink"/>
          </w:rPr>
          <w:t>www.health.state.mn.us/icar</w:t>
        </w:r>
      </w:hyperlink>
      <w:r w:rsidR="00280B77">
        <w:t xml:space="preserve"> </w:t>
      </w:r>
    </w:p>
    <w:p w14:paraId="32AF8EB4" w14:textId="23657B9B" w:rsidR="00B94C9F" w:rsidRPr="00822457" w:rsidRDefault="00C57EAE" w:rsidP="00C57EAE">
      <w:pPr>
        <w:pStyle w:val="AddressBlockDate"/>
        <w:spacing w:before="0" w:after="0"/>
      </w:pPr>
      <w:r>
        <w:t>02</w:t>
      </w:r>
      <w:r w:rsidR="00747788">
        <w:t>/</w:t>
      </w:r>
      <w:r w:rsidR="0038718E">
        <w:t>2</w:t>
      </w:r>
      <w:r>
        <w:t>2</w:t>
      </w:r>
      <w:r w:rsidR="00747788">
        <w:t>/2</w:t>
      </w:r>
      <w:r>
        <w:t>3</w:t>
      </w:r>
    </w:p>
    <w:p w14:paraId="3BFBE910" w14:textId="359CC9E3" w:rsidR="00CC4911" w:rsidRPr="00E50BB1" w:rsidRDefault="00B94C9F" w:rsidP="00C57EAE">
      <w:pPr>
        <w:pStyle w:val="Toobtainthisinfo"/>
        <w:spacing w:before="0" w:after="0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747788">
        <w:t>651-201-</w:t>
      </w:r>
      <w:r w:rsidR="00280B77">
        <w:t>5414.</w:t>
      </w:r>
    </w:p>
    <w:sectPr w:rsidR="00CC4911" w:rsidRPr="00E50BB1" w:rsidSect="00747788">
      <w:type w:val="continuous"/>
      <w:pgSz w:w="12240" w:h="15840"/>
      <w:pgMar w:top="720" w:right="1008" w:bottom="720" w:left="1008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0459" w14:textId="77777777" w:rsidR="00747788" w:rsidRDefault="00747788" w:rsidP="00747788">
      <w:r>
        <w:separator/>
      </w:r>
    </w:p>
  </w:endnote>
  <w:endnote w:type="continuationSeparator" w:id="0">
    <w:p w14:paraId="653C1289" w14:textId="77777777" w:rsidR="00747788" w:rsidRDefault="00747788" w:rsidP="007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25D63DC" w14:textId="77777777" w:rsidR="000F7548" w:rsidRDefault="000F7548" w:rsidP="00747788">
        <w:pPr>
          <w:pStyle w:val="Header"/>
          <w:spacing w:before="24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C08C0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1FC957D" w14:textId="77777777" w:rsidR="00B45CED" w:rsidRPr="00EE4C86" w:rsidRDefault="00B45CED" w:rsidP="00C57EAE">
        <w:pPr>
          <w:pStyle w:val="Footer"/>
          <w:spacing w:before="120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C08C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8509" w14:textId="77777777" w:rsidR="00747788" w:rsidRDefault="00747788" w:rsidP="00747788">
      <w:r>
        <w:separator/>
      </w:r>
    </w:p>
  </w:footnote>
  <w:footnote w:type="continuationSeparator" w:id="0">
    <w:p w14:paraId="7D02BCA4" w14:textId="77777777" w:rsidR="00747788" w:rsidRDefault="00747788" w:rsidP="0074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DE13" w14:textId="58F2FBE4" w:rsidR="00782710" w:rsidRPr="00747788" w:rsidRDefault="00747788" w:rsidP="00D66FE5">
    <w:pPr>
      <w:pStyle w:val="Header"/>
      <w:spacing w:before="0"/>
    </w:pPr>
    <w:r w:rsidRPr="00747788">
      <w:t xml:space="preserve">Wound Care Infection Prevention Recommendations for </w:t>
    </w:r>
    <w:r>
      <w:t>LTC</w:t>
    </w:r>
    <w:r w:rsidRPr="00747788">
      <w:t xml:space="preserve"> Facilities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E768" w14:textId="77777777" w:rsidR="00C57EAE" w:rsidRDefault="00C57EAE" w:rsidP="00C57EAE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5AE2539C"/>
    <w:multiLevelType w:val="multilevel"/>
    <w:tmpl w:val="A49C6184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128693930">
    <w:abstractNumId w:val="5"/>
  </w:num>
  <w:num w:numId="2" w16cid:durableId="610474471">
    <w:abstractNumId w:val="1"/>
  </w:num>
  <w:num w:numId="3" w16cid:durableId="2134327807">
    <w:abstractNumId w:val="12"/>
  </w:num>
  <w:num w:numId="4" w16cid:durableId="523372465">
    <w:abstractNumId w:val="16"/>
  </w:num>
  <w:num w:numId="5" w16cid:durableId="1306006788">
    <w:abstractNumId w:val="9"/>
  </w:num>
  <w:num w:numId="6" w16cid:durableId="833299544">
    <w:abstractNumId w:val="8"/>
  </w:num>
  <w:num w:numId="7" w16cid:durableId="2075082785">
    <w:abstractNumId w:val="11"/>
  </w:num>
  <w:num w:numId="8" w16cid:durableId="2140952191">
    <w:abstractNumId w:val="10"/>
  </w:num>
  <w:num w:numId="9" w16cid:durableId="1486892953">
    <w:abstractNumId w:val="15"/>
  </w:num>
  <w:num w:numId="10" w16cid:durableId="1635523818">
    <w:abstractNumId w:val="13"/>
  </w:num>
  <w:num w:numId="11" w16cid:durableId="553733521">
    <w:abstractNumId w:val="4"/>
  </w:num>
  <w:num w:numId="12" w16cid:durableId="354427433">
    <w:abstractNumId w:val="0"/>
  </w:num>
  <w:num w:numId="13" w16cid:durableId="874734414">
    <w:abstractNumId w:val="7"/>
  </w:num>
  <w:num w:numId="14" w16cid:durableId="1518471367">
    <w:abstractNumId w:val="6"/>
  </w:num>
  <w:num w:numId="15" w16cid:durableId="1000230260">
    <w:abstractNumId w:val="3"/>
  </w:num>
  <w:num w:numId="16" w16cid:durableId="1315137134">
    <w:abstractNumId w:val="2"/>
  </w:num>
  <w:num w:numId="17" w16cid:durableId="31826804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8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B7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18E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F86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4B3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57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47788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3E6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B3A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E0E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28AE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EAE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5A5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FE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43D5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0F0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0DA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BDE2A0"/>
  <w15:docId w15:val="{DB955990-2BBD-4841-BE43-33E53EC8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82F86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E20F0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47788"/>
    <w:pPr>
      <w:suppressAutoHyphens/>
      <w:spacing w:before="360" w:after="2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524E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E20F0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4778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524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747788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482F86"/>
    <w:pPr>
      <w:spacing w:before="0" w:after="0"/>
    </w:pPr>
    <w:rPr>
      <w:rFonts w:asciiTheme="minorHAnsi" w:hAnsiTheme="minorHAnsi"/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47788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4"/>
    <w:semiHidden/>
    <w:unhideWhenUsed/>
    <w:rsid w:val="0048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health.state.mn.us/ica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7021AE9DFC4A8D23D7F75283B082" ma:contentTypeVersion="6" ma:contentTypeDescription="Create a new document." ma:contentTypeScope="" ma:versionID="c09adb46924ba2194f8b75bd37cdd827">
  <xsd:schema xmlns:xsd="http://www.w3.org/2001/XMLSchema" xmlns:xs="http://www.w3.org/2001/XMLSchema" xmlns:p="http://schemas.microsoft.com/office/2006/metadata/properties" xmlns:ns2="7ae82fc7-2753-4fb5-9028-a45e870c52ee" xmlns:ns3="dae25789-db11-406f-a222-8c3fcd26d251" targetNamespace="http://schemas.microsoft.com/office/2006/metadata/properties" ma:root="true" ma:fieldsID="cd0da0f4ddcc4553640393a0bfb79e76" ns2:_="" ns3:_="">
    <xsd:import namespace="7ae82fc7-2753-4fb5-9028-a45e870c52ee"/>
    <xsd:import namespace="dae25789-db11-406f-a222-8c3fcd2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2fc7-2753-4fb5-9028-a45e870c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5789-db11-406f-a222-8c3fcd26d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5A82D7-C6E0-4D35-B257-BFE8AF8F0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82fc7-2753-4fb5-9028-a45e870c52ee"/>
    <ds:schemaRef ds:uri="dae25789-db11-406f-a222-8c3fcd2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7ae82fc7-2753-4fb5-9028-a45e870c52e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dae25789-db11-406f-a222-8c3fcd26d2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</Template>
  <TotalTime>0</TotalTime>
  <Pages>1</Pages>
  <Words>233</Words>
  <Characters>1214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Checklist for Monitoring Terminal Cleaning</vt:lpstr>
    </vt:vector>
  </TitlesOfParts>
  <Company>State of Minnesota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Checklist for Monitoring Terminal Cleaning</dc:title>
  <dc:subject>MDH ICAR Infection Prevention Audit Tools</dc:subject>
  <dc:creator>Minnesota Department of Health</dc:creator>
  <cp:keywords/>
  <dc:description>Document template version 2.2</dc:description>
  <cp:lastModifiedBy>Hill, Katie (She/Her/Hers) (MDH)</cp:lastModifiedBy>
  <cp:revision>2</cp:revision>
  <cp:lastPrinted>2016-12-14T18:03:00Z</cp:lastPrinted>
  <dcterms:created xsi:type="dcterms:W3CDTF">2023-02-22T17:23:00Z</dcterms:created>
  <dcterms:modified xsi:type="dcterms:W3CDTF">2023-02-22T17:23:00Z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0x010100D6147021AE9DFC4A8D23D7F75283B082</vt:lpwstr>
  </property>
  <property fmtid="{D5CDD505-2E9C-101B-9397-08002B2CF9AE}" pid="3" name="_dlc_DocIdItemGuid">
    <vt:lpwstr>5625e6c6-036d-48bf-b86d-616be68688bd</vt:lpwstr>
  </property>
</Properties>
</file>