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bookmarkStart w:id="0" w:name="_GoBack"/>
      <w:bookmarkEnd w:id="0"/>
      <w:r>
        <w:rPr>
          <w:noProof/>
          <w:lang w:eastAsia="zh-CN" w:bidi="bo-CN"/>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AB0B99" w:rsidRPr="00770094">
        <w:t xml:space="preserve">Health Advisory: </w:t>
      </w:r>
      <w:r w:rsidR="00373477">
        <w:t>Measles Exposure in Metro</w:t>
      </w:r>
    </w:p>
    <w:p w:rsidR="008E1DDD" w:rsidRPr="00770094" w:rsidRDefault="008E1DDD" w:rsidP="008E1DDD">
      <w:pPr>
        <w:spacing w:after="120"/>
      </w:pPr>
      <w:r w:rsidRPr="00770094">
        <w:rPr>
          <w:rFonts w:cs="Arial"/>
        </w:rPr>
        <w:t xml:space="preserve">Minnesota Department of Health </w:t>
      </w:r>
      <w:r w:rsidR="00373477">
        <w:rPr>
          <w:rFonts w:cs="Arial"/>
        </w:rPr>
        <w:t>Sep</w:t>
      </w:r>
      <w:r w:rsidR="00EB5915">
        <w:rPr>
          <w:rFonts w:cs="Arial"/>
        </w:rPr>
        <w:t xml:space="preserve"> </w:t>
      </w:r>
      <w:r w:rsidR="00373477">
        <w:rPr>
          <w:rFonts w:cs="Arial"/>
        </w:rPr>
        <w:t>14</w:t>
      </w:r>
      <w:r w:rsidR="00B00702" w:rsidRPr="000E253B">
        <w:rPr>
          <w:rFonts w:cs="Arial"/>
        </w:rPr>
        <w:t>,</w:t>
      </w:r>
      <w:r w:rsidR="00481109" w:rsidRPr="000E253B">
        <w:rPr>
          <w:rFonts w:cs="Arial"/>
        </w:rPr>
        <w:t xml:space="preserve"> 201</w:t>
      </w:r>
      <w:r w:rsidR="0068600F" w:rsidRPr="000E253B">
        <w:rPr>
          <w:rFonts w:cs="Arial"/>
        </w:rPr>
        <w:t>6</w:t>
      </w:r>
      <w:r w:rsidR="00481109" w:rsidRPr="000E253B">
        <w:rPr>
          <w:rFonts w:cs="Arial"/>
        </w:rPr>
        <w:t xml:space="preserve"> </w:t>
      </w:r>
      <w:r w:rsidR="00373477">
        <w:rPr>
          <w:rFonts w:cs="Arial"/>
        </w:rPr>
        <w:t>10</w:t>
      </w:r>
      <w:r w:rsidR="00382420" w:rsidRPr="000E253B">
        <w:rPr>
          <w:rFonts w:cs="Arial"/>
        </w:rPr>
        <w:t>:00</w:t>
      </w:r>
      <w:r w:rsidR="00DC011E">
        <w:rPr>
          <w:rFonts w:cs="Arial"/>
        </w:rPr>
        <w:t xml:space="preserve"> CS</w:t>
      </w:r>
      <w:r w:rsidRPr="000E253B">
        <w:rPr>
          <w:rFonts w:cs="Arial"/>
        </w:rPr>
        <w:t>T</w:t>
      </w:r>
      <w:r w:rsidRPr="00770094">
        <w:t xml:space="preserve"> </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b/>
          <w:bCs/>
        </w:rPr>
        <w:t>Action Steps: </w:t>
      </w:r>
      <w:r w:rsidRPr="00BD1F81">
        <w:rPr>
          <w:rFonts w:eastAsia="Times New Roman" w:cs="Times New Roman"/>
        </w:rPr>
        <w:br/>
      </w:r>
      <w:r w:rsidRPr="00BD1F81">
        <w:rPr>
          <w:rFonts w:eastAsia="Times New Roman" w:cs="Times New Roman"/>
          <w:b/>
          <w:bCs/>
          <w:i/>
          <w:iCs/>
        </w:rPr>
        <w:t>Local and tribal health departments:</w:t>
      </w:r>
      <w:r w:rsidRPr="00BD1F81">
        <w:rPr>
          <w:rFonts w:eastAsia="Times New Roman" w:cs="Times New Roman"/>
        </w:rPr>
        <w:t xml:space="preserve"> Please forward to hospitals, clinics, urgent care and convenience clinics in your jurisdiction. </w:t>
      </w:r>
      <w:r w:rsidRPr="00BD1F81">
        <w:rPr>
          <w:rFonts w:eastAsia="Times New Roman" w:cs="Times New Roman"/>
        </w:rPr>
        <w:br/>
      </w:r>
      <w:r w:rsidRPr="00BD1F81">
        <w:rPr>
          <w:rFonts w:eastAsia="Times New Roman" w:cs="Times New Roman"/>
          <w:b/>
          <w:bCs/>
          <w:i/>
          <w:iCs/>
        </w:rPr>
        <w:t>Hospital and clinics:</w:t>
      </w:r>
      <w:r w:rsidRPr="00BD1F81">
        <w:rPr>
          <w:rFonts w:eastAsia="Times New Roman" w:cs="Times New Roman"/>
        </w:rPr>
        <w:t xml:space="preserve"> Please distribute to health care professionals </w:t>
      </w:r>
      <w:r w:rsidRPr="00BD1F81">
        <w:rPr>
          <w:rFonts w:eastAsia="Times New Roman" w:cs="Times New Roman"/>
        </w:rPr>
        <w:br/>
      </w:r>
      <w:r w:rsidRPr="00BD1F81">
        <w:rPr>
          <w:rFonts w:eastAsia="Times New Roman" w:cs="Times New Roman"/>
          <w:b/>
          <w:bCs/>
          <w:i/>
          <w:iCs/>
        </w:rPr>
        <w:t>Healthcare providers:</w:t>
      </w:r>
      <w:r w:rsidRPr="00BD1F81">
        <w:rPr>
          <w:rFonts w:eastAsia="Times New Roman" w:cs="Times New Roman"/>
          <w:i/>
          <w:iCs/>
        </w:rPr>
        <w:t xml:space="preserve"> </w:t>
      </w:r>
    </w:p>
    <w:p w:rsidR="00BD1F81" w:rsidRPr="00BD1F81" w:rsidRDefault="00BD1F81" w:rsidP="00BD1F81">
      <w:pPr>
        <w:numPr>
          <w:ilvl w:val="0"/>
          <w:numId w:val="1"/>
        </w:numPr>
        <w:spacing w:before="100" w:beforeAutospacing="1" w:after="100" w:afterAutospacing="1" w:line="240" w:lineRule="auto"/>
        <w:rPr>
          <w:rFonts w:eastAsia="Times New Roman" w:cs="Times New Roman"/>
        </w:rPr>
      </w:pPr>
      <w:r w:rsidRPr="00BD1F81">
        <w:rPr>
          <w:rFonts w:eastAsia="Times New Roman" w:cs="Times New Roman"/>
        </w:rPr>
        <w:t xml:space="preserve">Consider measles in patients presenting with clinically compatible symptoms </w:t>
      </w:r>
      <w:r w:rsidRPr="00BD1F81">
        <w:rPr>
          <w:rFonts w:eastAsia="Times New Roman" w:cs="Times New Roman"/>
          <w:b/>
        </w:rPr>
        <w:t>between September 13</w:t>
      </w:r>
      <w:r w:rsidRPr="00BD1F81">
        <w:rPr>
          <w:rFonts w:eastAsia="Times New Roman" w:cs="Times New Roman"/>
          <w:b/>
          <w:vertAlign w:val="superscript"/>
        </w:rPr>
        <w:t>th</w:t>
      </w:r>
      <w:r w:rsidRPr="00BD1F81">
        <w:rPr>
          <w:rFonts w:eastAsia="Times New Roman" w:cs="Times New Roman"/>
          <w:b/>
        </w:rPr>
        <w:t xml:space="preserve"> and September 29</w:t>
      </w:r>
      <w:r w:rsidRPr="00BD1F81">
        <w:rPr>
          <w:rFonts w:eastAsia="Times New Roman" w:cs="Times New Roman"/>
          <w:b/>
          <w:vertAlign w:val="superscript"/>
        </w:rPr>
        <w:t>th</w:t>
      </w:r>
    </w:p>
    <w:p w:rsidR="00BD1F81" w:rsidRPr="00BD1F81" w:rsidRDefault="00BD1F81" w:rsidP="00BD1F81">
      <w:pPr>
        <w:numPr>
          <w:ilvl w:val="0"/>
          <w:numId w:val="1"/>
        </w:numPr>
        <w:spacing w:before="100" w:beforeAutospacing="1" w:after="100" w:afterAutospacing="1" w:line="240" w:lineRule="auto"/>
        <w:rPr>
          <w:rFonts w:eastAsia="Times New Roman" w:cs="Times New Roman"/>
        </w:rPr>
      </w:pPr>
      <w:r w:rsidRPr="00BD1F81">
        <w:rPr>
          <w:rFonts w:eastAsia="Times New Roman" w:cs="Times New Roman"/>
        </w:rPr>
        <w:t>Isolate suspected measles cases and promptly report to MDH at 1-877-676-5414 (toll-free) or 651-201-5414</w:t>
      </w:r>
    </w:p>
    <w:p w:rsidR="00BD1F81" w:rsidRPr="00BD1F81" w:rsidRDefault="00BD1F81" w:rsidP="00BD1F81">
      <w:pPr>
        <w:numPr>
          <w:ilvl w:val="0"/>
          <w:numId w:val="1"/>
        </w:numPr>
        <w:spacing w:before="100" w:beforeAutospacing="1" w:after="100" w:afterAutospacing="1" w:line="240" w:lineRule="auto"/>
      </w:pPr>
      <w:r w:rsidRPr="00BD1F81">
        <w:rPr>
          <w:rFonts w:eastAsia="Times New Roman" w:cs="Times New Roman"/>
        </w:rPr>
        <w:t xml:space="preserve">Obtain specimens for PCR in suspected measles cases (see lab factsheet: </w:t>
      </w:r>
      <w:hyperlink r:id="rId9" w:history="1">
        <w:r w:rsidRPr="00BD1F81">
          <w:rPr>
            <w:rStyle w:val="Hyperlink"/>
            <w:rFonts w:eastAsia="Times New Roman" w:cs="Times New Roman"/>
          </w:rPr>
          <w:t>h</w:t>
        </w:r>
        <w:r w:rsidRPr="00BD1F81">
          <w:rPr>
            <w:rStyle w:val="Hyperlink"/>
          </w:rPr>
          <w:t>ttp://www.health.state.mn.us/divs/idepc/diseases/measles/hcp/labtesting.html</w:t>
        </w:r>
      </w:hyperlink>
      <w:r w:rsidRPr="00BD1F81">
        <w:t xml:space="preserve">) </w:t>
      </w:r>
      <w:r w:rsidRPr="00BD1F81">
        <w:rPr>
          <w:rFonts w:ascii="Calibri" w:hAnsi="Calibri" w:cs="Calibri"/>
          <w:color w:val="000000"/>
        </w:rPr>
        <w:t xml:space="preserve"> </w:t>
      </w:r>
    </w:p>
    <w:p w:rsidR="00BD1F81" w:rsidRPr="00BD1F81" w:rsidRDefault="00BD1F81" w:rsidP="00BD1F81">
      <w:pPr>
        <w:numPr>
          <w:ilvl w:val="0"/>
          <w:numId w:val="1"/>
        </w:numPr>
        <w:spacing w:before="100" w:beforeAutospacing="1" w:after="100" w:afterAutospacing="1" w:line="240" w:lineRule="auto"/>
        <w:rPr>
          <w:rFonts w:eastAsia="Times New Roman" w:cs="Times New Roman"/>
        </w:rPr>
      </w:pPr>
      <w:r w:rsidRPr="00BD1F81">
        <w:rPr>
          <w:rFonts w:eastAsia="Times New Roman" w:cs="Times New Roman"/>
        </w:rPr>
        <w:t xml:space="preserve">Counsel patient to remain at home with no visitors until PCR results are back </w:t>
      </w:r>
    </w:p>
    <w:p w:rsidR="00BD1F81" w:rsidRPr="00BD1F81" w:rsidRDefault="00BD1F81" w:rsidP="00BD1F81">
      <w:pPr>
        <w:numPr>
          <w:ilvl w:val="0"/>
          <w:numId w:val="1"/>
        </w:numPr>
        <w:spacing w:before="100" w:beforeAutospacing="1" w:after="100" w:afterAutospacing="1" w:line="240" w:lineRule="auto"/>
        <w:rPr>
          <w:rFonts w:eastAsia="Times New Roman" w:cs="Times New Roman"/>
        </w:rPr>
      </w:pPr>
      <w:r w:rsidRPr="00BD1F81">
        <w:rPr>
          <w:rFonts w:eastAsia="Times New Roman" w:cs="Times New Roman"/>
        </w:rPr>
        <w:t xml:space="preserve">Verify documentation of measles immunization/immune status of all patients regardless of age </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rPr>
        <w:t>A laboratory-confirmed case of measles has been identified in a 30 year-old Massachusetts resident who traveled to Minnesota on business during his infectio</w:t>
      </w:r>
      <w:r w:rsidR="00CB35F0">
        <w:rPr>
          <w:rFonts w:eastAsia="Times New Roman" w:cs="Times New Roman"/>
        </w:rPr>
        <w:t>us period. Prior to coming to Minnesota</w:t>
      </w:r>
      <w:r w:rsidRPr="00BD1F81">
        <w:rPr>
          <w:rFonts w:eastAsia="Times New Roman" w:cs="Times New Roman"/>
        </w:rPr>
        <w:t>, the case reported recent travel to India where it is assumed he acquired measles. The case reported receipt of 2 doses of MMR vaccine as a child.</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rPr>
        <w:t>Clinical symptoms were compatible with measles including fever, rash, cough, coryza and conjunctivitis. The case was laboratory-confirmed b</w:t>
      </w:r>
      <w:r w:rsidR="00CB35F0">
        <w:rPr>
          <w:rFonts w:eastAsia="Times New Roman" w:cs="Times New Roman"/>
        </w:rPr>
        <w:t>y PCR and IgM serology at the Massachusetts</w:t>
      </w:r>
      <w:r w:rsidRPr="00BD1F81">
        <w:rPr>
          <w:rFonts w:eastAsia="Times New Roman" w:cs="Times New Roman"/>
        </w:rPr>
        <w:t xml:space="preserve"> Department of Health. Rash onset occurred on September 8</w:t>
      </w:r>
      <w:r w:rsidRPr="00BD1F81">
        <w:rPr>
          <w:rFonts w:eastAsia="Times New Roman" w:cs="Times New Roman"/>
          <w:vertAlign w:val="superscript"/>
        </w:rPr>
        <w:t>th</w:t>
      </w:r>
      <w:r w:rsidRPr="00BD1F81">
        <w:rPr>
          <w:rFonts w:eastAsia="Times New Roman" w:cs="Times New Roman"/>
        </w:rPr>
        <w:t>.  Exposures in MN occurred from September 6-8</w:t>
      </w:r>
      <w:r w:rsidRPr="00BD1F81">
        <w:rPr>
          <w:rFonts w:eastAsia="Times New Roman" w:cs="Times New Roman"/>
          <w:vertAlign w:val="superscript"/>
        </w:rPr>
        <w:t>th</w:t>
      </w:r>
      <w:r w:rsidRPr="00BD1F81">
        <w:rPr>
          <w:rFonts w:eastAsia="Times New Roman" w:cs="Times New Roman"/>
        </w:rPr>
        <w:t xml:space="preserve">. </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rPr>
        <w:t xml:space="preserve">Isolated exposures occurred in Ramsey, Hennepin and Dakota counties. </w:t>
      </w:r>
      <w:r w:rsidR="00CB35F0">
        <w:rPr>
          <w:rFonts w:eastAsia="Times New Roman" w:cs="Times New Roman"/>
        </w:rPr>
        <w:t>MDH</w:t>
      </w:r>
      <w:r w:rsidRPr="00BD1F81">
        <w:rPr>
          <w:rFonts w:eastAsia="Times New Roman" w:cs="Times New Roman"/>
        </w:rPr>
        <w:t xml:space="preserve"> and relevant local health departments are notifying persons who may have been exposed in specific settings. </w:t>
      </w:r>
    </w:p>
    <w:p w:rsidR="00BD1F81" w:rsidRPr="00BD1F81" w:rsidRDefault="00BD1F81" w:rsidP="00BD1F81">
      <w:pPr>
        <w:spacing w:before="100" w:beforeAutospacing="1" w:after="100" w:afterAutospacing="1" w:line="240" w:lineRule="auto"/>
        <w:rPr>
          <w:rFonts w:eastAsia="Times New Roman" w:cs="Times New Roman"/>
          <w:b/>
          <w:bCs/>
        </w:rPr>
      </w:pPr>
      <w:r w:rsidRPr="00BD1F81">
        <w:rPr>
          <w:rFonts w:eastAsia="Times New Roman" w:cs="Times New Roman"/>
        </w:rPr>
        <w:t xml:space="preserve">The incubation period of measles is generally 14 days from exposure to the onset of rash (range is 7 to 18 days, and rarely as long as 21 days); therefore, </w:t>
      </w:r>
      <w:r w:rsidRPr="00BD1F81">
        <w:rPr>
          <w:rFonts w:eastAsia="Times New Roman" w:cs="Times New Roman"/>
          <w:bCs/>
        </w:rPr>
        <w:t>secondary cases in Minnesota would be expected to have onset between September 13</w:t>
      </w:r>
      <w:r w:rsidRPr="00BD1F81">
        <w:rPr>
          <w:rFonts w:eastAsia="Times New Roman" w:cs="Times New Roman"/>
          <w:bCs/>
          <w:vertAlign w:val="superscript"/>
        </w:rPr>
        <w:t>th</w:t>
      </w:r>
      <w:r w:rsidRPr="00BD1F81">
        <w:rPr>
          <w:rFonts w:eastAsia="Times New Roman" w:cs="Times New Roman"/>
          <w:bCs/>
        </w:rPr>
        <w:t xml:space="preserve"> and September 29</w:t>
      </w:r>
      <w:r w:rsidRPr="00BD1F81">
        <w:rPr>
          <w:rFonts w:eastAsia="Times New Roman" w:cs="Times New Roman"/>
          <w:bCs/>
          <w:vertAlign w:val="superscript"/>
        </w:rPr>
        <w:t>th</w:t>
      </w:r>
      <w:r w:rsidRPr="00BD1F81">
        <w:rPr>
          <w:rFonts w:eastAsia="Times New Roman" w:cs="Times New Roman"/>
          <w:bCs/>
        </w:rPr>
        <w:t xml:space="preserve"> 2016.</w:t>
      </w:r>
      <w:r w:rsidRPr="00BD1F81">
        <w:rPr>
          <w:rFonts w:eastAsia="Times New Roman" w:cs="Times New Roman"/>
          <w:b/>
          <w:bCs/>
        </w:rPr>
        <w:t xml:space="preserve"> </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rPr>
        <w:t>Make sure all patients have documentation of measles immunization or proof of immunity. Be particularly mindful of patients born between 1957 and 1978 who may have received only one dose (or a less efficacious formulation) and may not have immunity from disease. If there is no documentation of immunization or immunity, administer one dose of MMR.</w:t>
      </w:r>
    </w:p>
    <w:p w:rsidR="00BD1F81" w:rsidRDefault="00BD1F81" w:rsidP="00BD1F81">
      <w:pPr>
        <w:spacing w:before="100" w:beforeAutospacing="1" w:after="100" w:afterAutospacing="1" w:line="240" w:lineRule="auto"/>
        <w:rPr>
          <w:rFonts w:eastAsia="Times New Roman" w:cs="Times New Roman"/>
          <w:bCs/>
        </w:rPr>
      </w:pPr>
      <w:r w:rsidRPr="00BD1F81">
        <w:rPr>
          <w:rFonts w:eastAsia="Times New Roman" w:cs="Times New Roman"/>
          <w:bCs/>
        </w:rPr>
        <w:t>Providers are encouraged to call MDH with questions about suspected cases or exposures.</w:t>
      </w:r>
    </w:p>
    <w:p w:rsidR="00BD1F81" w:rsidRPr="00BD1F81" w:rsidRDefault="00BD1F81" w:rsidP="00BD1F81">
      <w:pPr>
        <w:spacing w:before="100" w:beforeAutospacing="1" w:after="100" w:afterAutospacing="1" w:line="240" w:lineRule="auto"/>
        <w:rPr>
          <w:rFonts w:eastAsia="Times New Roman" w:cs="Times New Roman"/>
        </w:rPr>
      </w:pPr>
      <w:r w:rsidRPr="00BD1F81">
        <w:rPr>
          <w:rFonts w:eastAsia="Times New Roman" w:cs="Times New Roman"/>
        </w:rPr>
        <w:t xml:space="preserve">Additional information about measles for health professionals found here: </w:t>
      </w:r>
      <w:hyperlink r:id="rId10" w:history="1">
        <w:r w:rsidRPr="00BC0C67">
          <w:rPr>
            <w:rStyle w:val="Hyperlink"/>
            <w:rFonts w:eastAsia="Times New Roman" w:cs="Times New Roman"/>
          </w:rPr>
          <w:t>http://www.health.state.mn.us/divs/idepc/diseases/measles/hcp/index.html</w:t>
        </w:r>
      </w:hyperlink>
      <w:r>
        <w:rPr>
          <w:rFonts w:eastAsia="Times New Roman" w:cs="Times New Roman"/>
        </w:rPr>
        <w:t xml:space="preserve"> </w:t>
      </w:r>
    </w:p>
    <w:p w:rsidR="00FF5861" w:rsidRDefault="00FF5861" w:rsidP="00BD1F81">
      <w:pPr>
        <w:spacing w:before="100" w:beforeAutospacing="1" w:after="100" w:afterAutospacing="1" w:line="240" w:lineRule="auto"/>
      </w:pPr>
      <w:r w:rsidRPr="008E1DDD">
        <w:t xml:space="preserve">A </w:t>
      </w:r>
      <w:r>
        <w:t>copy of this HAN is available in PDF and Word format at</w:t>
      </w:r>
      <w:r w:rsidRPr="008E1DDD">
        <w:t xml:space="preserve"> </w:t>
      </w:r>
      <w:hyperlink r:id="rId11" w:history="1">
        <w:r>
          <w:rPr>
            <w:rStyle w:val="Hyperlink"/>
            <w:rFonts w:eastAsiaTheme="majorEastAsia"/>
          </w:rPr>
          <w:t>www.health.state.mn.us/han/</w:t>
        </w:r>
      </w:hyperlink>
      <w:r w:rsidRPr="008E1DDD">
        <w:t>.</w:t>
      </w:r>
    </w:p>
    <w:p w:rsidR="00BD1F81" w:rsidRPr="00BD1F81" w:rsidRDefault="00BD1F81" w:rsidP="00BD1F81">
      <w:pPr>
        <w:spacing w:before="100" w:beforeAutospacing="1" w:after="100" w:afterAutospacing="1" w:line="240" w:lineRule="auto"/>
      </w:pPr>
      <w:r>
        <w:t>The content of this message is intended for public health and health care personnel and response partners who have a need to know the information to perform their duties. It is for official use only. Do not distribute beyond the intended recipient groups as described in the action items of this message.</w:t>
      </w:r>
    </w:p>
    <w:sectPr w:rsidR="00BD1F81" w:rsidRPr="00BD1F81" w:rsidSect="00CF0C93">
      <w:head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0"/>
  </w:num>
  <w:num w:numId="5">
    <w:abstractNumId w:val="13"/>
  </w:num>
  <w:num w:numId="6">
    <w:abstractNumId w:val="14"/>
  </w:num>
  <w:num w:numId="7">
    <w:abstractNumId w:val="21"/>
  </w:num>
  <w:num w:numId="8">
    <w:abstractNumId w:val="5"/>
  </w:num>
  <w:num w:numId="9">
    <w:abstractNumId w:val="2"/>
  </w:num>
  <w:num w:numId="10">
    <w:abstractNumId w:val="16"/>
  </w:num>
  <w:num w:numId="11">
    <w:abstractNumId w:val="19"/>
  </w:num>
  <w:num w:numId="12">
    <w:abstractNumId w:val="12"/>
  </w:num>
  <w:num w:numId="13">
    <w:abstractNumId w:val="11"/>
  </w:num>
  <w:num w:numId="14">
    <w:abstractNumId w:val="18"/>
  </w:num>
  <w:num w:numId="15">
    <w:abstractNumId w:val="17"/>
  </w:num>
  <w:num w:numId="16">
    <w:abstractNumId w:val="22"/>
  </w:num>
  <w:num w:numId="17">
    <w:abstractNumId w:val="6"/>
  </w:num>
  <w:num w:numId="18">
    <w:abstractNumId w:val="15"/>
  </w:num>
  <w:num w:numId="19">
    <w:abstractNumId w:val="8"/>
  </w:num>
  <w:num w:numId="20">
    <w:abstractNumId w:val="1"/>
  </w:num>
  <w:num w:numId="21">
    <w:abstractNumId w:val="11"/>
  </w:num>
  <w:num w:numId="22">
    <w:abstractNumId w:val="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537DD"/>
    <w:rsid w:val="00960F11"/>
    <w:rsid w:val="00962F05"/>
    <w:rsid w:val="009740F9"/>
    <w:rsid w:val="00992094"/>
    <w:rsid w:val="00996B8E"/>
    <w:rsid w:val="009A2A40"/>
    <w:rsid w:val="009A38F2"/>
    <w:rsid w:val="009C1193"/>
    <w:rsid w:val="009C14F4"/>
    <w:rsid w:val="00A0539B"/>
    <w:rsid w:val="00A35305"/>
    <w:rsid w:val="00A910CE"/>
    <w:rsid w:val="00AB0B99"/>
    <w:rsid w:val="00AB0D2E"/>
    <w:rsid w:val="00AC5873"/>
    <w:rsid w:val="00AF238B"/>
    <w:rsid w:val="00B00702"/>
    <w:rsid w:val="00B21452"/>
    <w:rsid w:val="00B43866"/>
    <w:rsid w:val="00B72108"/>
    <w:rsid w:val="00B92329"/>
    <w:rsid w:val="00BB289D"/>
    <w:rsid w:val="00BD1F81"/>
    <w:rsid w:val="00BD67DB"/>
    <w:rsid w:val="00BF333F"/>
    <w:rsid w:val="00C22FF8"/>
    <w:rsid w:val="00C439D0"/>
    <w:rsid w:val="00C7768A"/>
    <w:rsid w:val="00C810C6"/>
    <w:rsid w:val="00C9749E"/>
    <w:rsid w:val="00CB35F0"/>
    <w:rsid w:val="00CC0E3A"/>
    <w:rsid w:val="00CF0C93"/>
    <w:rsid w:val="00CF61C3"/>
    <w:rsid w:val="00D26952"/>
    <w:rsid w:val="00D32BDE"/>
    <w:rsid w:val="00D4193B"/>
    <w:rsid w:val="00D85F9B"/>
    <w:rsid w:val="00DA46F7"/>
    <w:rsid w:val="00DB446C"/>
    <w:rsid w:val="00DC011E"/>
    <w:rsid w:val="00DC4B2D"/>
    <w:rsid w:val="00E53182"/>
    <w:rsid w:val="00E74A1A"/>
    <w:rsid w:val="00E930FA"/>
    <w:rsid w:val="00E940B8"/>
    <w:rsid w:val="00EB1966"/>
    <w:rsid w:val="00EB5915"/>
    <w:rsid w:val="00F23D0D"/>
    <w:rsid w:val="00F31287"/>
    <w:rsid w:val="00F45B7B"/>
    <w:rsid w:val="00F556B2"/>
    <w:rsid w:val="00F64A49"/>
    <w:rsid w:val="00F64ABF"/>
    <w:rsid w:val="00FA2A4A"/>
    <w:rsid w:val="00FD3B44"/>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0" Type="http://schemas.openxmlformats.org/officeDocument/2006/relationships/hyperlink" Target="http://www.health.state.mn.us/divs/idepc/diseases/measles/hcp/index.html" TargetMode="External"/><Relationship Id="rId4" Type="http://schemas.openxmlformats.org/officeDocument/2006/relationships/settings" Target="settings.xml"/><Relationship Id="rId9" Type="http://schemas.openxmlformats.org/officeDocument/2006/relationships/hyperlink" Target="http://www.health.state.mn.us/divs/idepc/diseases/measles/hcp/labtesting.html%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2363-54C0-4A9D-8A71-676D0B54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Health Advisory: Travel-Associated Measles Case in Hennepin County</vt:lpstr>
    </vt:vector>
  </TitlesOfParts>
  <Company>Minnesota Department of Health</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Travel-Associated Measles Case in Hennepin County</dc:title>
  <dc:creator>Minnesota Department of Health</dc:creator>
  <cp:lastModifiedBy>Elly Pretzel</cp:lastModifiedBy>
  <cp:revision>2</cp:revision>
  <dcterms:created xsi:type="dcterms:W3CDTF">2016-09-14T14:18:00Z</dcterms:created>
  <dcterms:modified xsi:type="dcterms:W3CDTF">2016-09-14T14:18:00Z</dcterms:modified>
</cp:coreProperties>
</file>