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B90930" w:rsidRPr="00B90930">
        <w:t>Health Advisory: Varicella (Chickenpox) Outbreak in North Metro</w:t>
      </w:r>
    </w:p>
    <w:p w:rsidR="008E1DDD" w:rsidRPr="00770094" w:rsidRDefault="008E1DDD" w:rsidP="008E1DDD">
      <w:pPr>
        <w:spacing w:after="120"/>
      </w:pPr>
      <w:r w:rsidRPr="00770094">
        <w:rPr>
          <w:rFonts w:cs="Arial"/>
        </w:rPr>
        <w:t xml:space="preserve">Minnesota Department of Health </w:t>
      </w:r>
      <w:r w:rsidR="008C738A">
        <w:rPr>
          <w:rFonts w:cs="Arial"/>
        </w:rPr>
        <w:t xml:space="preserve">Tue </w:t>
      </w:r>
      <w:r w:rsidR="00B90930">
        <w:rPr>
          <w:rFonts w:cs="Arial"/>
        </w:rPr>
        <w:t>Apr</w:t>
      </w:r>
      <w:r w:rsidR="00EB5915">
        <w:rPr>
          <w:rFonts w:cs="Arial"/>
        </w:rPr>
        <w:t xml:space="preserve"> </w:t>
      </w:r>
      <w:r w:rsidR="008C738A">
        <w:rPr>
          <w:rFonts w:cs="Arial"/>
        </w:rPr>
        <w:t>4</w:t>
      </w:r>
      <w:r w:rsidR="00D235ED">
        <w:rPr>
          <w:rFonts w:cs="Arial"/>
        </w:rPr>
        <w:t>,</w:t>
      </w:r>
      <w:r w:rsidR="00481109" w:rsidRPr="000E253B">
        <w:rPr>
          <w:rFonts w:cs="Arial"/>
        </w:rPr>
        <w:t xml:space="preserve"> 201</w:t>
      </w:r>
      <w:r w:rsidR="004807D4">
        <w:rPr>
          <w:rFonts w:cs="Arial"/>
        </w:rPr>
        <w:t>7</w:t>
      </w:r>
      <w:r w:rsidR="00481109" w:rsidRPr="000E253B">
        <w:rPr>
          <w:rFonts w:cs="Arial"/>
        </w:rPr>
        <w:t xml:space="preserve"> </w:t>
      </w:r>
      <w:r w:rsidR="008C738A">
        <w:rPr>
          <w:rFonts w:cs="Arial"/>
        </w:rPr>
        <w:t>09</w:t>
      </w:r>
      <w:r w:rsidR="00382420" w:rsidRPr="000E253B">
        <w:rPr>
          <w:rFonts w:cs="Arial"/>
        </w:rPr>
        <w:t>:00</w:t>
      </w:r>
      <w:r w:rsidR="00DC011E">
        <w:rPr>
          <w:rFonts w:cs="Arial"/>
        </w:rPr>
        <w:t xml:space="preserve"> C</w:t>
      </w:r>
      <w:r w:rsidR="007511AE">
        <w:rPr>
          <w:rFonts w:cs="Arial"/>
        </w:rPr>
        <w:t>D</w:t>
      </w:r>
      <w:r w:rsidRPr="000E253B">
        <w:rPr>
          <w:rFonts w:cs="Arial"/>
        </w:rPr>
        <w:t>T</w:t>
      </w:r>
      <w:r w:rsidRPr="00770094">
        <w:t xml:space="preserve"> </w:t>
      </w:r>
    </w:p>
    <w:p w:rsidR="00B90930" w:rsidRDefault="00E5682F" w:rsidP="00A45825">
      <w:pPr>
        <w:spacing w:after="0" w:line="240" w:lineRule="auto"/>
        <w:rPr>
          <w:rFonts w:cs="Arial"/>
          <w:color w:val="000000"/>
          <w:shd w:val="clear" w:color="auto" w:fill="FFFFFF"/>
        </w:rPr>
      </w:pPr>
      <w:r>
        <w:rPr>
          <w:rFonts w:eastAsia="Times New Roman" w:cs="Times New Roman"/>
          <w:b/>
          <w:bCs/>
        </w:rPr>
        <w:t>Action Steps:</w:t>
      </w:r>
      <w:r w:rsidR="00BD1F81" w:rsidRPr="00BD1F81">
        <w:rPr>
          <w:rFonts w:eastAsia="Times New Roman" w:cs="Times New Roman"/>
        </w:rPr>
        <w:br/>
      </w:r>
      <w:r w:rsidR="00D33A10" w:rsidRPr="00D33A10">
        <w:rPr>
          <w:rStyle w:val="Strong"/>
          <w:rFonts w:cs="Arial"/>
          <w:i/>
          <w:iCs/>
          <w:color w:val="000000"/>
          <w:shd w:val="clear" w:color="auto" w:fill="FFFFFF"/>
        </w:rPr>
        <w:t>Local and tribal health departments:</w:t>
      </w:r>
      <w:r w:rsidR="00D33A10" w:rsidRPr="00D33A10">
        <w:rPr>
          <w:rStyle w:val="apple-converted-space"/>
          <w:rFonts w:cs="Arial"/>
          <w:color w:val="000000"/>
          <w:shd w:val="clear" w:color="auto" w:fill="FFFFFF"/>
        </w:rPr>
        <w:t> </w:t>
      </w:r>
      <w:r w:rsidR="00B90930" w:rsidRPr="00B90930">
        <w:rPr>
          <w:rFonts w:cs="Arial"/>
          <w:color w:val="000000"/>
          <w:shd w:val="clear" w:color="auto" w:fill="FFFFFF"/>
        </w:rPr>
        <w:t xml:space="preserve">Please forward to hospitals, clinics, urgent care, and convenience clinics in </w:t>
      </w:r>
      <w:r w:rsidR="00B90930" w:rsidRPr="00B90930">
        <w:rPr>
          <w:rFonts w:cs="Arial"/>
          <w:b/>
          <w:color w:val="000000"/>
          <w:shd w:val="clear" w:color="auto" w:fill="FFFFFF"/>
        </w:rPr>
        <w:t>Anoka, Chisago, Hennepin, Isanti, Ramsey, Sherburne, and Washington</w:t>
      </w:r>
      <w:r w:rsidR="00B90930" w:rsidRPr="00B90930">
        <w:rPr>
          <w:rFonts w:cs="Arial"/>
          <w:color w:val="000000"/>
          <w:shd w:val="clear" w:color="auto" w:fill="FFFFFF"/>
        </w:rPr>
        <w:t xml:space="preserve"> counties.</w:t>
      </w:r>
    </w:p>
    <w:p w:rsidR="00B90930" w:rsidRDefault="00D33A10" w:rsidP="00A45825">
      <w:pPr>
        <w:spacing w:after="0" w:line="240" w:lineRule="auto"/>
        <w:rPr>
          <w:rFonts w:cs="Arial"/>
          <w:color w:val="000000"/>
          <w:shd w:val="clear" w:color="auto" w:fill="FFFFFF"/>
        </w:rPr>
      </w:pPr>
      <w:r w:rsidRPr="00D33A10">
        <w:rPr>
          <w:rStyle w:val="Strong"/>
          <w:rFonts w:cs="Arial"/>
          <w:i/>
          <w:iCs/>
          <w:color w:val="000000"/>
          <w:shd w:val="clear" w:color="auto" w:fill="FFFFFF"/>
        </w:rPr>
        <w:t>Hospitals and clinics:</w:t>
      </w:r>
      <w:r w:rsidRPr="00D33A10">
        <w:rPr>
          <w:rStyle w:val="apple-converted-space"/>
          <w:rFonts w:cs="Arial"/>
          <w:color w:val="000000"/>
          <w:shd w:val="clear" w:color="auto" w:fill="FFFFFF"/>
        </w:rPr>
        <w:t> </w:t>
      </w:r>
      <w:r w:rsidR="007511AE" w:rsidRPr="007511AE">
        <w:rPr>
          <w:rFonts w:cs="Arial"/>
          <w:color w:val="000000"/>
          <w:shd w:val="clear" w:color="auto" w:fill="FFFFFF"/>
        </w:rPr>
        <w:t>Please dis</w:t>
      </w:r>
      <w:r w:rsidR="00B90930">
        <w:rPr>
          <w:rFonts w:cs="Arial"/>
          <w:color w:val="000000"/>
          <w:shd w:val="clear" w:color="auto" w:fill="FFFFFF"/>
        </w:rPr>
        <w:t>tribute to health care professionals.</w:t>
      </w:r>
    </w:p>
    <w:p w:rsidR="00D235ED" w:rsidRDefault="00BD1F81" w:rsidP="00A45825">
      <w:pPr>
        <w:spacing w:after="0" w:line="240" w:lineRule="auto"/>
        <w:rPr>
          <w:rFonts w:eastAsia="Times New Roman" w:cs="Times New Roman"/>
          <w:i/>
          <w:iCs/>
        </w:rPr>
      </w:pPr>
      <w:r w:rsidRPr="00BD1F81">
        <w:rPr>
          <w:rFonts w:eastAsia="Times New Roman" w:cs="Times New Roman"/>
          <w:b/>
          <w:bCs/>
          <w:i/>
          <w:iCs/>
        </w:rPr>
        <w:t>Health</w:t>
      </w:r>
      <w:r w:rsidR="004807D4">
        <w:rPr>
          <w:rFonts w:eastAsia="Times New Roman" w:cs="Times New Roman"/>
          <w:b/>
          <w:bCs/>
          <w:i/>
          <w:iCs/>
        </w:rPr>
        <w:t xml:space="preserve"> </w:t>
      </w:r>
      <w:r w:rsidR="00B90930">
        <w:rPr>
          <w:rFonts w:eastAsia="Times New Roman" w:cs="Times New Roman"/>
          <w:b/>
          <w:bCs/>
          <w:i/>
          <w:iCs/>
        </w:rPr>
        <w:t>care professionals</w:t>
      </w:r>
      <w:r w:rsidRPr="00BD1F81">
        <w:rPr>
          <w:rFonts w:eastAsia="Times New Roman" w:cs="Times New Roman"/>
          <w:b/>
          <w:bCs/>
          <w:i/>
          <w:iCs/>
        </w:rPr>
        <w:t>:</w:t>
      </w:r>
      <w:r w:rsidRPr="00BD1F81">
        <w:rPr>
          <w:rFonts w:eastAsia="Times New Roman" w:cs="Times New Roman"/>
          <w:i/>
          <w:iCs/>
        </w:rPr>
        <w:t xml:space="preserve"> </w:t>
      </w:r>
    </w:p>
    <w:p w:rsidR="00B90930" w:rsidRPr="00B90930" w:rsidRDefault="00B90930" w:rsidP="00B90930">
      <w:pPr>
        <w:pStyle w:val="ListParagraph"/>
        <w:numPr>
          <w:ilvl w:val="0"/>
          <w:numId w:val="38"/>
        </w:numPr>
        <w:autoSpaceDE w:val="0"/>
        <w:autoSpaceDN w:val="0"/>
        <w:adjustRightInd w:val="0"/>
        <w:rPr>
          <w:rFonts w:eastAsia="Times New Roman"/>
        </w:rPr>
      </w:pPr>
      <w:r w:rsidRPr="00B90930">
        <w:rPr>
          <w:rFonts w:eastAsia="Times New Roman"/>
        </w:rPr>
        <w:t>Call MDH to arrange for specimen testing for varicella</w:t>
      </w:r>
    </w:p>
    <w:p w:rsidR="00B90930" w:rsidRPr="00B90930" w:rsidRDefault="00B90930" w:rsidP="00B90930">
      <w:pPr>
        <w:pStyle w:val="ListParagraph"/>
        <w:numPr>
          <w:ilvl w:val="0"/>
          <w:numId w:val="38"/>
        </w:numPr>
        <w:autoSpaceDE w:val="0"/>
        <w:autoSpaceDN w:val="0"/>
        <w:adjustRightInd w:val="0"/>
        <w:rPr>
          <w:rFonts w:eastAsia="Times New Roman"/>
        </w:rPr>
      </w:pPr>
      <w:r w:rsidRPr="00B90930">
        <w:rPr>
          <w:rFonts w:eastAsia="Times New Roman"/>
        </w:rPr>
        <w:t xml:space="preserve">Report all suspected cases of varicella to MDH and include a rash description </w:t>
      </w:r>
    </w:p>
    <w:p w:rsidR="00B90930" w:rsidRPr="00B90930" w:rsidRDefault="00B90930" w:rsidP="00B90930">
      <w:pPr>
        <w:pStyle w:val="ListParagraph"/>
        <w:numPr>
          <w:ilvl w:val="0"/>
          <w:numId w:val="38"/>
        </w:numPr>
        <w:autoSpaceDE w:val="0"/>
        <w:autoSpaceDN w:val="0"/>
        <w:adjustRightInd w:val="0"/>
        <w:spacing w:after="120"/>
        <w:rPr>
          <w:rFonts w:cs="Calibri"/>
        </w:rPr>
      </w:pPr>
      <w:r w:rsidRPr="00B90930">
        <w:rPr>
          <w:rFonts w:eastAsia="Times New Roman"/>
        </w:rPr>
        <w:t xml:space="preserve">Counsel patients to remain at home until PCR results are </w:t>
      </w:r>
      <w:r>
        <w:rPr>
          <w:rFonts w:eastAsia="Times New Roman"/>
        </w:rPr>
        <w:t>back or until rash has resolved</w:t>
      </w:r>
    </w:p>
    <w:p w:rsidR="00B90930" w:rsidRPr="00B90930" w:rsidRDefault="00D235ED" w:rsidP="00B90930">
      <w:pPr>
        <w:autoSpaceDE w:val="0"/>
        <w:autoSpaceDN w:val="0"/>
        <w:adjustRightInd w:val="0"/>
        <w:spacing w:after="120"/>
        <w:rPr>
          <w:rFonts w:cs="Calibri"/>
        </w:rPr>
      </w:pPr>
      <w:r w:rsidRPr="00B90930">
        <w:rPr>
          <w:rFonts w:cs="Calibri"/>
          <w:b/>
          <w:color w:val="000000"/>
        </w:rPr>
        <w:t>Background</w:t>
      </w:r>
      <w:r w:rsidRPr="00B90930">
        <w:rPr>
          <w:rFonts w:cs="Calibri"/>
          <w:b/>
          <w:color w:val="000000"/>
        </w:rPr>
        <w:br/>
      </w:r>
      <w:r w:rsidR="00EE5C1A">
        <w:rPr>
          <w:rFonts w:cs="Calibri"/>
        </w:rPr>
        <w:t xml:space="preserve">A K-12 school </w:t>
      </w:r>
      <w:r w:rsidR="00EE5C1A" w:rsidRPr="00EE5C1A">
        <w:rPr>
          <w:rFonts w:cs="Calibri"/>
        </w:rPr>
        <w:t>with over 600 students in Anoka County is experiencing an outbreak of varicella. Many of the students are unvaccinated. We are concerned about severe cases of varicella occurring, particularly in those age 12 years and older.  We are also seeing a general increase in varicella activity in this area.</w:t>
      </w:r>
      <w:r w:rsidR="008C738A">
        <w:rPr>
          <w:rFonts w:ascii="Arial" w:hAnsi="Arial" w:cs="Arial"/>
          <w:color w:val="000000"/>
          <w:sz w:val="21"/>
          <w:szCs w:val="21"/>
          <w:shd w:val="clear" w:color="auto" w:fill="FFFFFF"/>
        </w:rPr>
        <w:t> </w:t>
      </w:r>
    </w:p>
    <w:p w:rsidR="00B90930" w:rsidRPr="00B90930" w:rsidRDefault="00B90930" w:rsidP="00B90930">
      <w:pPr>
        <w:autoSpaceDE w:val="0"/>
        <w:autoSpaceDN w:val="0"/>
        <w:adjustRightInd w:val="0"/>
        <w:spacing w:after="120"/>
        <w:rPr>
          <w:rFonts w:cs="Calibri"/>
        </w:rPr>
      </w:pPr>
      <w:r w:rsidRPr="00B90930">
        <w:rPr>
          <w:rFonts w:cs="Calibri"/>
          <w:b/>
        </w:rPr>
        <w:t xml:space="preserve">Laboratory Testing </w:t>
      </w:r>
      <w:r>
        <w:rPr>
          <w:rFonts w:cs="Calibri"/>
        </w:rPr>
        <w:br/>
      </w:r>
      <w:r w:rsidRPr="00B90930">
        <w:rPr>
          <w:rFonts w:cs="Calibri"/>
        </w:rPr>
        <w:t xml:space="preserve">Laboratory testing is needed to confirm cases of varicella so timely public health actions can take place. Call MDH at 651-201-5414 to arrange for specimen testing. The MDH Public Health Laboratory (PHL) is able to perform PCR testing at no charge. Specimens from lesions, such as fluid, skin scrapings, or scabs, can be submitted to the MDH-PHL for PCR. PCR is the recommended test for varicella; it is rapid, sensitive, and specific. </w:t>
      </w:r>
    </w:p>
    <w:p w:rsidR="00B90930" w:rsidRPr="00B90930" w:rsidRDefault="00B90930" w:rsidP="00B90930">
      <w:pPr>
        <w:autoSpaceDE w:val="0"/>
        <w:autoSpaceDN w:val="0"/>
        <w:adjustRightInd w:val="0"/>
        <w:spacing w:after="120"/>
        <w:rPr>
          <w:rFonts w:cs="Calibri"/>
        </w:rPr>
      </w:pPr>
      <w:r w:rsidRPr="00B90930">
        <w:rPr>
          <w:rFonts w:cs="Calibri"/>
        </w:rPr>
        <w:t xml:space="preserve">The communicable disease reporting rule requires submission of clinical materials for suspected or confirmed varicella cases. A laboratory fact sheet with further guidance is posted on Varicella Information for Health Professionals (www.health.state.mn.us/divs/idepc/diseases/varicella/hcp/index.html). </w:t>
      </w:r>
    </w:p>
    <w:p w:rsidR="00B90930" w:rsidRPr="00B90930" w:rsidRDefault="00B90930" w:rsidP="00B90930">
      <w:pPr>
        <w:autoSpaceDE w:val="0"/>
        <w:autoSpaceDN w:val="0"/>
        <w:adjustRightInd w:val="0"/>
        <w:spacing w:after="120"/>
        <w:rPr>
          <w:rFonts w:cs="Calibri"/>
        </w:rPr>
      </w:pPr>
      <w:r w:rsidRPr="00B90930">
        <w:rPr>
          <w:rFonts w:cs="Calibri"/>
          <w:b/>
        </w:rPr>
        <w:t>Report Varicella Cases Immediately</w:t>
      </w:r>
      <w:r>
        <w:rPr>
          <w:rFonts w:cs="Calibri"/>
        </w:rPr>
        <w:br/>
      </w:r>
      <w:r w:rsidRPr="00B90930">
        <w:rPr>
          <w:rFonts w:cs="Calibri"/>
        </w:rPr>
        <w:t>Report suspected varicella cases immediately to MDH. Call MDH at 1-877-676-5414 or fill out the Varicella Reporting Form (</w:t>
      </w:r>
      <w:hyperlink r:id="rId9" w:history="1">
        <w:r w:rsidRPr="003E2ED6">
          <w:rPr>
            <w:rStyle w:val="Hyperlink"/>
            <w:rFonts w:cs="Calibri"/>
          </w:rPr>
          <w:t>www.health.state.mn.us/divs/idepc/dtopics/reportable/forms/varicellaform.html</w:t>
        </w:r>
      </w:hyperlink>
      <w:r>
        <w:rPr>
          <w:rFonts w:cs="Calibri"/>
        </w:rPr>
        <w:t xml:space="preserve"> </w:t>
      </w:r>
      <w:r w:rsidRPr="00B90930">
        <w:rPr>
          <w:rFonts w:cs="Calibri"/>
        </w:rPr>
        <w:t xml:space="preserve">). </w:t>
      </w:r>
    </w:p>
    <w:p w:rsidR="00B90930" w:rsidRPr="00B90930" w:rsidRDefault="00B90930" w:rsidP="00B90930">
      <w:pPr>
        <w:autoSpaceDE w:val="0"/>
        <w:autoSpaceDN w:val="0"/>
        <w:adjustRightInd w:val="0"/>
        <w:spacing w:after="120"/>
        <w:rPr>
          <w:rFonts w:cs="Calibri"/>
        </w:rPr>
      </w:pPr>
      <w:r w:rsidRPr="00B90930">
        <w:rPr>
          <w:rFonts w:cs="Calibri"/>
          <w:b/>
        </w:rPr>
        <w:t xml:space="preserve">Exclusion and PEP Recommendations </w:t>
      </w:r>
      <w:r>
        <w:rPr>
          <w:rFonts w:cs="Calibri"/>
        </w:rPr>
        <w:br/>
      </w:r>
      <w:r w:rsidR="00EE5C1A" w:rsidRPr="00EE5C1A">
        <w:rPr>
          <w:rFonts w:cs="Calibri"/>
        </w:rPr>
        <w:t>Children diagnosed with varicella must stay home until the rash has resolved; in some cases a week or more. Non-immune pregnant women and immunocompromised individuals who are exposed to varicella are candidates for varicella immune globulin. Vaccine given within 3 days, and possibly up to 5 days, of exposure can prevent or reduce the severity of infection.</w:t>
      </w:r>
      <w:bookmarkStart w:id="0" w:name="_GoBack"/>
      <w:bookmarkEnd w:id="0"/>
    </w:p>
    <w:p w:rsidR="00B90930" w:rsidRDefault="00B90930" w:rsidP="00B90930">
      <w:pPr>
        <w:autoSpaceDE w:val="0"/>
        <w:autoSpaceDN w:val="0"/>
        <w:adjustRightInd w:val="0"/>
        <w:spacing w:after="120"/>
        <w:rPr>
          <w:rFonts w:cs="Calibri"/>
        </w:rPr>
      </w:pPr>
      <w:r w:rsidRPr="00B90930">
        <w:rPr>
          <w:rFonts w:cs="Calibri"/>
          <w:b/>
        </w:rPr>
        <w:t>Questions</w:t>
      </w:r>
      <w:r>
        <w:rPr>
          <w:rFonts w:cs="Calibri"/>
        </w:rPr>
        <w:br/>
      </w:r>
      <w:r w:rsidRPr="00B90930">
        <w:rPr>
          <w:rFonts w:cs="Calibri"/>
        </w:rPr>
        <w:t xml:space="preserve">Please call the Minnesota Department of Health at 1-877-676-5414. </w:t>
      </w:r>
    </w:p>
    <w:p w:rsidR="00D33A10" w:rsidRPr="00D33A10" w:rsidRDefault="00D33A10" w:rsidP="00B90930">
      <w:pPr>
        <w:autoSpaceDE w:val="0"/>
        <w:autoSpaceDN w:val="0"/>
        <w:adjustRightInd w:val="0"/>
        <w:spacing w:after="120"/>
        <w:rPr>
          <w:rFonts w:eastAsia="Times New Roman" w:cs="Times New Roman"/>
          <w:lang w:val="en"/>
        </w:rPr>
      </w:pPr>
      <w:r w:rsidRPr="00D33A10">
        <w:rPr>
          <w:rFonts w:eastAsia="Times New Roman" w:cs="Times New Roman"/>
          <w:lang w:val="en"/>
        </w:rPr>
        <w:t xml:space="preserve">A copy of this HAN </w:t>
      </w:r>
      <w:r w:rsidR="007511AE">
        <w:rPr>
          <w:rFonts w:eastAsia="Times New Roman" w:cs="Times New Roman"/>
          <w:lang w:val="en"/>
        </w:rPr>
        <w:t>is</w:t>
      </w:r>
      <w:r w:rsidRPr="00D33A10">
        <w:rPr>
          <w:rFonts w:eastAsia="Times New Roman" w:cs="Times New Roman"/>
          <w:lang w:val="en"/>
        </w:rPr>
        <w:t xml:space="preserve"> available at </w:t>
      </w:r>
      <w:hyperlink r:id="rId10" w:history="1">
        <w:r w:rsidRPr="00645EC9">
          <w:rPr>
            <w:rStyle w:val="Hyperlink"/>
            <w:rFonts w:eastAsia="Times New Roman" w:cs="Times New Roman"/>
            <w:lang w:val="en"/>
          </w:rPr>
          <w:t>www.health.state.mn.us/han/</w:t>
        </w:r>
      </w:hyperlink>
      <w:r>
        <w:rPr>
          <w:rFonts w:eastAsia="Times New Roman" w:cs="Times New Roman"/>
          <w:lang w:val="en"/>
        </w:rPr>
        <w:t xml:space="preserve"> </w:t>
      </w:r>
      <w:r w:rsidRPr="00D33A10">
        <w:rPr>
          <w:rFonts w:eastAsia="Times New Roman" w:cs="Times New Roman"/>
          <w:lang w:val="en"/>
        </w:rPr>
        <w:t>.</w:t>
      </w:r>
    </w:p>
    <w:p w:rsidR="004807D4" w:rsidRDefault="00D33A10" w:rsidP="00D33A10">
      <w:pPr>
        <w:spacing w:after="120" w:line="240" w:lineRule="auto"/>
        <w:rPr>
          <w:rFonts w:eastAsia="Times New Roman" w:cs="Times New Roman"/>
          <w:lang w:val="en"/>
        </w:rPr>
      </w:pPr>
      <w:r w:rsidRPr="00D33A10">
        <w:rPr>
          <w:rFonts w:eastAsia="Times New Roman" w:cs="Times New Roman"/>
          <w:lang w:val="en"/>
        </w:rPr>
        <w:t>The content of this message is intended for public health and health care personnel and response partners who have a need to know the information to perform their duties.</w:t>
      </w:r>
    </w:p>
    <w:sectPr w:rsidR="004807D4" w:rsidSect="00D235ED">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2941"/>
    <w:multiLevelType w:val="multilevel"/>
    <w:tmpl w:val="CE60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14E42"/>
    <w:multiLevelType w:val="hybridMultilevel"/>
    <w:tmpl w:val="76A89048"/>
    <w:lvl w:ilvl="0" w:tplc="CD14EE82">
      <w:numFmt w:val="bullet"/>
      <w:lvlText w:val="•"/>
      <w:lvlJc w:val="left"/>
      <w:pPr>
        <w:ind w:left="1080" w:hanging="72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560C66"/>
    <w:multiLevelType w:val="hybridMultilevel"/>
    <w:tmpl w:val="A098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A7E2D"/>
    <w:multiLevelType w:val="hybridMultilevel"/>
    <w:tmpl w:val="7FBE11A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A25BB"/>
    <w:multiLevelType w:val="hybridMultilevel"/>
    <w:tmpl w:val="459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05CE3"/>
    <w:multiLevelType w:val="hybridMultilevel"/>
    <w:tmpl w:val="88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80145B"/>
    <w:multiLevelType w:val="hybridMultilevel"/>
    <w:tmpl w:val="383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815CF"/>
    <w:multiLevelType w:val="hybridMultilevel"/>
    <w:tmpl w:val="A79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6E60EF"/>
    <w:multiLevelType w:val="hybridMultilevel"/>
    <w:tmpl w:val="ECDAF45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832751"/>
    <w:multiLevelType w:val="multilevel"/>
    <w:tmpl w:val="276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F1FD6"/>
    <w:multiLevelType w:val="hybridMultilevel"/>
    <w:tmpl w:val="3E52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CE0521"/>
    <w:multiLevelType w:val="hybridMultilevel"/>
    <w:tmpl w:val="CCBCD2FA"/>
    <w:lvl w:ilvl="0" w:tplc="CD14EE82">
      <w:numFmt w:val="bullet"/>
      <w:lvlText w:val="•"/>
      <w:lvlJc w:val="left"/>
      <w:pPr>
        <w:ind w:left="1440" w:hanging="720"/>
      </w:pPr>
      <w:rPr>
        <w:rFonts w:ascii="Calibri" w:eastAsia="Times New Roman"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6E7886"/>
    <w:multiLevelType w:val="hybridMultilevel"/>
    <w:tmpl w:val="DFFE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E7E43"/>
    <w:multiLevelType w:val="multilevel"/>
    <w:tmpl w:val="54129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6"/>
  </w:num>
  <w:num w:numId="4">
    <w:abstractNumId w:val="0"/>
  </w:num>
  <w:num w:numId="5">
    <w:abstractNumId w:val="21"/>
  </w:num>
  <w:num w:numId="6">
    <w:abstractNumId w:val="22"/>
  </w:num>
  <w:num w:numId="7">
    <w:abstractNumId w:val="34"/>
  </w:num>
  <w:num w:numId="8">
    <w:abstractNumId w:val="7"/>
  </w:num>
  <w:num w:numId="9">
    <w:abstractNumId w:val="3"/>
  </w:num>
  <w:num w:numId="10">
    <w:abstractNumId w:val="25"/>
  </w:num>
  <w:num w:numId="11">
    <w:abstractNumId w:val="30"/>
  </w:num>
  <w:num w:numId="12">
    <w:abstractNumId w:val="19"/>
  </w:num>
  <w:num w:numId="13">
    <w:abstractNumId w:val="16"/>
  </w:num>
  <w:num w:numId="14">
    <w:abstractNumId w:val="29"/>
  </w:num>
  <w:num w:numId="15">
    <w:abstractNumId w:val="27"/>
  </w:num>
  <w:num w:numId="16">
    <w:abstractNumId w:val="35"/>
  </w:num>
  <w:num w:numId="17">
    <w:abstractNumId w:val="8"/>
  </w:num>
  <w:num w:numId="18">
    <w:abstractNumId w:val="24"/>
  </w:num>
  <w:num w:numId="19">
    <w:abstractNumId w:val="10"/>
  </w:num>
  <w:num w:numId="20">
    <w:abstractNumId w:val="2"/>
  </w:num>
  <w:num w:numId="21">
    <w:abstractNumId w:val="16"/>
  </w:num>
  <w:num w:numId="22">
    <w:abstractNumId w:val="9"/>
  </w:num>
  <w:num w:numId="23">
    <w:abstractNumId w:val="12"/>
  </w:num>
  <w:num w:numId="24">
    <w:abstractNumId w:val="4"/>
  </w:num>
  <w:num w:numId="25">
    <w:abstractNumId w:val="26"/>
  </w:num>
  <w:num w:numId="26">
    <w:abstractNumId w:val="17"/>
  </w:num>
  <w:num w:numId="27">
    <w:abstractNumId w:val="14"/>
  </w:num>
  <w:num w:numId="28">
    <w:abstractNumId w:val="23"/>
  </w:num>
  <w:num w:numId="29">
    <w:abstractNumId w:val="20"/>
  </w:num>
  <w:num w:numId="30">
    <w:abstractNumId w:val="15"/>
  </w:num>
  <w:num w:numId="31">
    <w:abstractNumId w:val="1"/>
  </w:num>
  <w:num w:numId="32">
    <w:abstractNumId w:val="18"/>
  </w:num>
  <w:num w:numId="33">
    <w:abstractNumId w:val="28"/>
  </w:num>
  <w:num w:numId="34">
    <w:abstractNumId w:val="36"/>
  </w:num>
  <w:num w:numId="35">
    <w:abstractNumId w:val="33"/>
  </w:num>
  <w:num w:numId="36">
    <w:abstractNumId w:val="11"/>
  </w:num>
  <w:num w:numId="37">
    <w:abstractNumId w:val="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03A8"/>
    <w:rsid w:val="0006249F"/>
    <w:rsid w:val="00070AA5"/>
    <w:rsid w:val="00090A2A"/>
    <w:rsid w:val="000B19B5"/>
    <w:rsid w:val="000D3CCD"/>
    <w:rsid w:val="000E253B"/>
    <w:rsid w:val="00123BE1"/>
    <w:rsid w:val="00142BE8"/>
    <w:rsid w:val="00174D71"/>
    <w:rsid w:val="001A2FD7"/>
    <w:rsid w:val="001A4175"/>
    <w:rsid w:val="001B3B6C"/>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1283D"/>
    <w:rsid w:val="00437781"/>
    <w:rsid w:val="004477F2"/>
    <w:rsid w:val="004502DD"/>
    <w:rsid w:val="00467421"/>
    <w:rsid w:val="004807D4"/>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6313B"/>
    <w:rsid w:val="006706A6"/>
    <w:rsid w:val="0068600F"/>
    <w:rsid w:val="006C6E47"/>
    <w:rsid w:val="006D7D86"/>
    <w:rsid w:val="00710767"/>
    <w:rsid w:val="00717A43"/>
    <w:rsid w:val="00746B8D"/>
    <w:rsid w:val="007511AE"/>
    <w:rsid w:val="00770094"/>
    <w:rsid w:val="00775B0F"/>
    <w:rsid w:val="00776617"/>
    <w:rsid w:val="0078378C"/>
    <w:rsid w:val="007A0BD9"/>
    <w:rsid w:val="007A1CFB"/>
    <w:rsid w:val="007B5F91"/>
    <w:rsid w:val="007D191C"/>
    <w:rsid w:val="007D41B8"/>
    <w:rsid w:val="00820F43"/>
    <w:rsid w:val="00824B51"/>
    <w:rsid w:val="00843621"/>
    <w:rsid w:val="00867D30"/>
    <w:rsid w:val="00871E34"/>
    <w:rsid w:val="00876DD7"/>
    <w:rsid w:val="00882456"/>
    <w:rsid w:val="0088707D"/>
    <w:rsid w:val="00887FEF"/>
    <w:rsid w:val="008C738A"/>
    <w:rsid w:val="008E1DDD"/>
    <w:rsid w:val="008E3A09"/>
    <w:rsid w:val="008F2F74"/>
    <w:rsid w:val="00920DAA"/>
    <w:rsid w:val="00926A2D"/>
    <w:rsid w:val="009537DD"/>
    <w:rsid w:val="00960F11"/>
    <w:rsid w:val="00962F05"/>
    <w:rsid w:val="009740F9"/>
    <w:rsid w:val="00992094"/>
    <w:rsid w:val="00996B8E"/>
    <w:rsid w:val="009A2A40"/>
    <w:rsid w:val="009A38F2"/>
    <w:rsid w:val="009C1193"/>
    <w:rsid w:val="009C14F4"/>
    <w:rsid w:val="009E521C"/>
    <w:rsid w:val="00A0539B"/>
    <w:rsid w:val="00A3517D"/>
    <w:rsid w:val="00A35305"/>
    <w:rsid w:val="00A45825"/>
    <w:rsid w:val="00A62080"/>
    <w:rsid w:val="00A910CE"/>
    <w:rsid w:val="00AB0B99"/>
    <w:rsid w:val="00AB0D2E"/>
    <w:rsid w:val="00AC5873"/>
    <w:rsid w:val="00AF238B"/>
    <w:rsid w:val="00B00702"/>
    <w:rsid w:val="00B21452"/>
    <w:rsid w:val="00B23260"/>
    <w:rsid w:val="00B2735E"/>
    <w:rsid w:val="00B43866"/>
    <w:rsid w:val="00B55EE4"/>
    <w:rsid w:val="00B72108"/>
    <w:rsid w:val="00B90930"/>
    <w:rsid w:val="00B92329"/>
    <w:rsid w:val="00BB289D"/>
    <w:rsid w:val="00BD1F81"/>
    <w:rsid w:val="00BD67DB"/>
    <w:rsid w:val="00BF333F"/>
    <w:rsid w:val="00C22FF8"/>
    <w:rsid w:val="00C439D0"/>
    <w:rsid w:val="00C7768A"/>
    <w:rsid w:val="00C810C6"/>
    <w:rsid w:val="00C86B8C"/>
    <w:rsid w:val="00C94B42"/>
    <w:rsid w:val="00C9749E"/>
    <w:rsid w:val="00CB35F0"/>
    <w:rsid w:val="00CC0E3A"/>
    <w:rsid w:val="00CF0C93"/>
    <w:rsid w:val="00CF61C3"/>
    <w:rsid w:val="00D235ED"/>
    <w:rsid w:val="00D248B0"/>
    <w:rsid w:val="00D26952"/>
    <w:rsid w:val="00D32BDE"/>
    <w:rsid w:val="00D33A10"/>
    <w:rsid w:val="00D4193B"/>
    <w:rsid w:val="00D85F9B"/>
    <w:rsid w:val="00DA46F7"/>
    <w:rsid w:val="00DB446C"/>
    <w:rsid w:val="00DC011E"/>
    <w:rsid w:val="00DC4B2D"/>
    <w:rsid w:val="00E53182"/>
    <w:rsid w:val="00E5682F"/>
    <w:rsid w:val="00E74A1A"/>
    <w:rsid w:val="00E930FA"/>
    <w:rsid w:val="00E940B8"/>
    <w:rsid w:val="00EB1966"/>
    <w:rsid w:val="00EB5915"/>
    <w:rsid w:val="00EB68CA"/>
    <w:rsid w:val="00EE5C1A"/>
    <w:rsid w:val="00F23D0D"/>
    <w:rsid w:val="00F31287"/>
    <w:rsid w:val="00F45B7B"/>
    <w:rsid w:val="00F556B2"/>
    <w:rsid w:val="00F64A49"/>
    <w:rsid w:val="00F64ABF"/>
    <w:rsid w:val="00F9465F"/>
    <w:rsid w:val="00FA2A4A"/>
    <w:rsid w:val="00FD3B44"/>
    <w:rsid w:val="00FE3C2E"/>
    <w:rsid w:val="00FE6500"/>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6561470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25268808">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 w:id="116347079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09757510">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63158815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54953238">
      <w:bodyDiv w:val="1"/>
      <w:marLeft w:val="0"/>
      <w:marRight w:val="0"/>
      <w:marTop w:val="0"/>
      <w:marBottom w:val="0"/>
      <w:divBdr>
        <w:top w:val="none" w:sz="0" w:space="0" w:color="auto"/>
        <w:left w:val="none" w:sz="0" w:space="0" w:color="auto"/>
        <w:bottom w:val="none" w:sz="0" w:space="0" w:color="auto"/>
        <w:right w:val="none" w:sz="0" w:space="0" w:color="auto"/>
      </w:divBdr>
    </w:div>
    <w:div w:id="205083388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han/" TargetMode="External"/><Relationship Id="rId4" Type="http://schemas.openxmlformats.org/officeDocument/2006/relationships/settings" Target="settings.xml"/><Relationship Id="rId9" Type="http://schemas.openxmlformats.org/officeDocument/2006/relationships/hyperlink" Target="http://www.health.state.mn.us/divs/idepc/dtopics/reportable/forms/varicella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4CA7-C261-4EE9-9DFB-8AEEB79C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Advisory: Varicella (Chickenpox) Outbreak in North Metro</vt:lpstr>
    </vt:vector>
  </TitlesOfParts>
  <Company>Minnesota Department of Health</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Varicella (Chickenpox) Outbreak in North Metro</dc:title>
  <dc:creator>Minnesota Department of Health</dc:creator>
  <cp:lastModifiedBy>Toby McAdams</cp:lastModifiedBy>
  <cp:revision>5</cp:revision>
  <dcterms:created xsi:type="dcterms:W3CDTF">2017-04-03T13:29:00Z</dcterms:created>
  <dcterms:modified xsi:type="dcterms:W3CDTF">2017-04-04T13:21:00Z</dcterms:modified>
</cp:coreProperties>
</file>