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7D706" w14:textId="77777777" w:rsidR="00B94C9F" w:rsidRDefault="00B94C9F" w:rsidP="002C0187">
      <w:pPr>
        <w:pStyle w:val="LOGO"/>
      </w:pPr>
      <w:r>
        <w:drawing>
          <wp:inline distT="0" distB="0" distL="0" distR="0" wp14:anchorId="68A856A1" wp14:editId="1D103C00">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2D03410E" w14:textId="4F26C3D4" w:rsidR="006D697F" w:rsidRDefault="006D697F" w:rsidP="004E3C77">
      <w:pPr>
        <w:pStyle w:val="Heading1"/>
      </w:pPr>
      <w:r w:rsidRPr="006D697F">
        <w:t xml:space="preserve">Health Advisory: </w:t>
      </w:r>
      <w:r w:rsidR="00891EBF" w:rsidRPr="00891EBF">
        <w:t>Sedative Associated Overdoses</w:t>
      </w:r>
    </w:p>
    <w:p w14:paraId="0CBECC50" w14:textId="77777777" w:rsidR="00891EBF" w:rsidRDefault="00891EBF">
      <w:pPr>
        <w:pStyle w:val="NormalWeb"/>
        <w:divId w:val="919098372"/>
      </w:pPr>
      <w:r>
        <w:t>Minnesota Department of Health, Tue, July 29 10:00 CDT 2025</w:t>
      </w:r>
    </w:p>
    <w:p w14:paraId="0EB0CA72" w14:textId="77777777" w:rsidR="00891EBF" w:rsidRDefault="00891EBF">
      <w:pPr>
        <w:pStyle w:val="Heading2"/>
        <w:divId w:val="919098372"/>
        <w:rPr>
          <w:rFonts w:eastAsia="Times New Roman"/>
        </w:rPr>
      </w:pPr>
      <w:r>
        <w:rPr>
          <w:rFonts w:eastAsia="Times New Roman"/>
        </w:rPr>
        <w:t>Action Steps</w:t>
      </w:r>
    </w:p>
    <w:p w14:paraId="2F531F6D" w14:textId="77777777" w:rsidR="00891EBF" w:rsidRDefault="00891EBF" w:rsidP="00613201">
      <w:pPr>
        <w:divId w:val="919098372"/>
      </w:pPr>
      <w:r>
        <w:rPr>
          <w:rStyle w:val="Emphasis"/>
          <w:b/>
          <w:bCs/>
        </w:rPr>
        <w:t>Local and tribal health department</w:t>
      </w:r>
      <w:r>
        <w:t>: Please forward to hospitals, clinics, urgent care centers, and emergency departments in your jurisdiction. </w:t>
      </w:r>
      <w:r>
        <w:br/>
      </w:r>
      <w:r>
        <w:rPr>
          <w:rStyle w:val="Emphasis"/>
          <w:b/>
          <w:bCs/>
        </w:rPr>
        <w:t>Hospitals, clinics and other facilities</w:t>
      </w:r>
      <w:r>
        <w:t xml:space="preserve">: Please forward to all health care providers who may work with people who use drugs. </w:t>
      </w:r>
      <w:r>
        <w:br/>
      </w:r>
      <w:r>
        <w:rPr>
          <w:rStyle w:val="Emphasis"/>
          <w:b/>
          <w:bCs/>
        </w:rPr>
        <w:t>Health care providers</w:t>
      </w:r>
      <w:r>
        <w:t>:</w:t>
      </w:r>
    </w:p>
    <w:p w14:paraId="22E9724A" w14:textId="77777777" w:rsidR="00891EBF" w:rsidRDefault="00891EBF" w:rsidP="00891EBF">
      <w:pPr>
        <w:numPr>
          <w:ilvl w:val="0"/>
          <w:numId w:val="19"/>
        </w:numPr>
        <w:suppressAutoHyphens w:val="0"/>
        <w:spacing w:before="100" w:beforeAutospacing="1" w:after="100" w:afterAutospacing="1"/>
        <w:divId w:val="919098372"/>
        <w:rPr>
          <w:rFonts w:eastAsia="Times New Roman"/>
        </w:rPr>
      </w:pPr>
      <w:r>
        <w:rPr>
          <w:rFonts w:eastAsia="Times New Roman"/>
        </w:rPr>
        <w:t xml:space="preserve">Focus on restoring the breathing of overdose patients, rather than restoring their consciousness. </w:t>
      </w:r>
    </w:p>
    <w:p w14:paraId="70D2449E" w14:textId="77777777" w:rsidR="00891EBF" w:rsidRDefault="00891EBF" w:rsidP="00891EBF">
      <w:pPr>
        <w:numPr>
          <w:ilvl w:val="0"/>
          <w:numId w:val="19"/>
        </w:numPr>
        <w:suppressAutoHyphens w:val="0"/>
        <w:spacing w:before="100" w:beforeAutospacing="1" w:after="100" w:afterAutospacing="1"/>
        <w:divId w:val="919098372"/>
        <w:rPr>
          <w:rFonts w:eastAsia="Times New Roman"/>
        </w:rPr>
      </w:pPr>
      <w:r>
        <w:rPr>
          <w:rFonts w:eastAsia="Times New Roman"/>
        </w:rPr>
        <w:t>Consider naloxone administration to treat suspected drug overdose in patients experiencing combined respiratory insufficiency and unresponsiveness to reverse the effects of opioids such as fentanyl or heroin.</w:t>
      </w:r>
    </w:p>
    <w:p w14:paraId="4D9F4308" w14:textId="77777777" w:rsidR="00891EBF" w:rsidRDefault="00891EBF" w:rsidP="00891EBF">
      <w:pPr>
        <w:numPr>
          <w:ilvl w:val="0"/>
          <w:numId w:val="19"/>
        </w:numPr>
        <w:suppressAutoHyphens w:val="0"/>
        <w:spacing w:before="100" w:beforeAutospacing="1" w:after="100" w:afterAutospacing="1"/>
        <w:divId w:val="919098372"/>
        <w:rPr>
          <w:rFonts w:eastAsia="Times New Roman"/>
        </w:rPr>
      </w:pPr>
      <w:r>
        <w:rPr>
          <w:rFonts w:eastAsia="Times New Roman"/>
        </w:rPr>
        <w:t>Monitor breathing and be aware that non-opioid sedatives such as xylazine and medetomidine do not directly respond to naloxone.</w:t>
      </w:r>
    </w:p>
    <w:p w14:paraId="71DB5774" w14:textId="77777777" w:rsidR="00891EBF" w:rsidRDefault="00891EBF" w:rsidP="00891EBF">
      <w:pPr>
        <w:numPr>
          <w:ilvl w:val="0"/>
          <w:numId w:val="19"/>
        </w:numPr>
        <w:suppressAutoHyphens w:val="0"/>
        <w:spacing w:before="100" w:beforeAutospacing="1" w:after="100" w:afterAutospacing="1"/>
        <w:divId w:val="919098372"/>
        <w:rPr>
          <w:rFonts w:eastAsia="Times New Roman"/>
        </w:rPr>
      </w:pPr>
      <w:r>
        <w:rPr>
          <w:rFonts w:eastAsia="Times New Roman"/>
        </w:rPr>
        <w:t>Treat opioid withdrawal and sedative withdrawal simultaneously with clinically directed and evidence-based medications.  </w:t>
      </w:r>
    </w:p>
    <w:p w14:paraId="06B6FD46" w14:textId="77777777" w:rsidR="00891EBF" w:rsidRDefault="00891EBF" w:rsidP="00891EBF">
      <w:pPr>
        <w:numPr>
          <w:ilvl w:val="0"/>
          <w:numId w:val="19"/>
        </w:numPr>
        <w:suppressAutoHyphens w:val="0"/>
        <w:spacing w:before="100" w:beforeAutospacing="1" w:after="100" w:afterAutospacing="1"/>
        <w:divId w:val="919098372"/>
        <w:rPr>
          <w:rFonts w:eastAsia="Times New Roman"/>
        </w:rPr>
      </w:pPr>
      <w:r>
        <w:rPr>
          <w:rFonts w:eastAsia="Times New Roman"/>
        </w:rPr>
        <w:t>Join the Minnesota Drug Overdose and Substance Use Surveillance Activity (MNDOSA) to help MDH share data from hospital partners about statewide drug trends.</w:t>
      </w:r>
    </w:p>
    <w:p w14:paraId="351F0AEC" w14:textId="77777777" w:rsidR="00891EBF" w:rsidRDefault="00891EBF" w:rsidP="00891EBF">
      <w:pPr>
        <w:numPr>
          <w:ilvl w:val="0"/>
          <w:numId w:val="19"/>
        </w:numPr>
        <w:suppressAutoHyphens w:val="0"/>
        <w:spacing w:before="100" w:beforeAutospacing="1" w:after="100" w:afterAutospacing="1"/>
        <w:divId w:val="919098372"/>
        <w:rPr>
          <w:rFonts w:eastAsia="Times New Roman"/>
        </w:rPr>
      </w:pPr>
      <w:r>
        <w:rPr>
          <w:rFonts w:eastAsia="Times New Roman"/>
        </w:rPr>
        <w:t xml:space="preserve">Get Involved with the </w:t>
      </w:r>
      <w:hyperlink r:id="rId13" w:history="1">
        <w:r>
          <w:rPr>
            <w:rStyle w:val="Hyperlink"/>
            <w:rFonts w:eastAsia="Times New Roman"/>
          </w:rPr>
          <w:t>Minnesota Drug Overdose and Substance Use Surveillance Activity (MNDOSA) (https://www.health.state.mn.us/communities/injury/data/mndosa.html)</w:t>
        </w:r>
      </w:hyperlink>
      <w:r>
        <w:rPr>
          <w:rFonts w:eastAsia="Times New Roman"/>
        </w:rPr>
        <w:t xml:space="preserve"> to help MDH collect and share data about statewide drug trends. </w:t>
      </w:r>
    </w:p>
    <w:p w14:paraId="02F2C4D3" w14:textId="77777777" w:rsidR="00891EBF" w:rsidRDefault="00891EBF">
      <w:pPr>
        <w:pStyle w:val="Heading2"/>
        <w:divId w:val="919098372"/>
        <w:rPr>
          <w:rFonts w:eastAsia="Times New Roman"/>
        </w:rPr>
      </w:pPr>
      <w:r>
        <w:rPr>
          <w:rFonts w:eastAsia="Times New Roman"/>
        </w:rPr>
        <w:t>Situation Update</w:t>
      </w:r>
    </w:p>
    <w:p w14:paraId="367571E6" w14:textId="77777777" w:rsidR="00891EBF" w:rsidRDefault="00891EBF" w:rsidP="00613201">
      <w:pPr>
        <w:divId w:val="919098372"/>
      </w:pPr>
      <w:r>
        <w:t xml:space="preserve">Following nationwide trends, Minnesota has seen a rise in overdoses associated with non-opioid sedatives like xylazine and medetomidine. While drug traffickers may add these sedatives to their drug supplies to reduce costs or modify the substances’ effects, the people who use illicit substances often do not know what they are taking or the risks involved. </w:t>
      </w:r>
      <w:r>
        <w:rPr>
          <w:rStyle w:val="Strong"/>
        </w:rPr>
        <w:t>The presence of non-opioid sedatives mixed into other drugs significantly complicates the treatment of overdose patients.</w:t>
      </w:r>
    </w:p>
    <w:p w14:paraId="457CA24F" w14:textId="4146DCCA" w:rsidR="00891EBF" w:rsidRDefault="00613201" w:rsidP="00613201">
      <w:pPr>
        <w:divId w:val="919098372"/>
        <w:rPr>
          <w:rFonts w:eastAsia="Times New Roman"/>
        </w:rPr>
      </w:pPr>
      <w:r w:rsidRPr="00613201">
        <w:rPr>
          <w:rFonts w:ascii="Times New Roman" w:hAnsi="Times New Roman" w:cs="Times New Roman"/>
          <w:b/>
          <w:bCs/>
          <w:szCs w:val="24"/>
        </w:rPr>
        <w:lastRenderedPageBreak/>
        <w:drawing>
          <wp:inline distT="0" distB="0" distL="0" distR="0" wp14:anchorId="0F2A8BE0" wp14:editId="03ADE56B">
            <wp:extent cx="5676900" cy="3829050"/>
            <wp:effectExtent l="0" t="0" r="0" b="0"/>
            <wp:docPr id="1896627806" name="Picture 2" descr="graph showing increase of Xylazine and Medetomidine associated with Overdoses sinc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 showing increase of Xylazine and Medetomidine associated with Overdoses since 20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3829050"/>
                    </a:xfrm>
                    <a:prstGeom prst="rect">
                      <a:avLst/>
                    </a:prstGeom>
                    <a:noFill/>
                    <a:ln>
                      <a:noFill/>
                    </a:ln>
                  </pic:spPr>
                </pic:pic>
              </a:graphicData>
            </a:graphic>
          </wp:inline>
        </w:drawing>
      </w:r>
      <w:r w:rsidRPr="00613201">
        <w:rPr>
          <w:rFonts w:ascii="Times New Roman" w:hAnsi="Times New Roman" w:cs="Times New Roman"/>
          <w:b/>
          <w:bCs/>
          <w:szCs w:val="24"/>
        </w:rPr>
        <w:t xml:space="preserve"> </w:t>
      </w:r>
      <w:r w:rsidR="00891EBF" w:rsidRPr="00613201">
        <w:t>Source: Minnesota Drug Overdose and Substance Use Surveillance Activity Data (MNDOSA), Division of Injury Prevention and Mental Health, Minnesota Department of Health, 2020-2025.</w:t>
      </w:r>
      <w:r w:rsidR="00891EBF">
        <w:rPr>
          <w:rFonts w:eastAsia="Times New Roman"/>
        </w:rPr>
        <w:t xml:space="preserve"> </w:t>
      </w:r>
    </w:p>
    <w:p w14:paraId="596B83CB" w14:textId="77777777" w:rsidR="00891EBF" w:rsidRDefault="00891EBF" w:rsidP="00613201">
      <w:pPr>
        <w:divId w:val="919098372"/>
      </w:pPr>
      <w:r>
        <w:t>Toxicology testing from overdose patients treated at participating emergency departments across Minnesota has detected increasing numbers of sedative associated overdose cases since 2020, when xylazine overdoses were first recorded. In 2024, MDH began detecting medetomidine, another sedative in the same class as xylazine and with similar effects. This testing is done through MNDOSA, which currently partners with eight hospitals across Minnesota. These data provide a snapshot of substance exposures, which can vary by region and may not represent all Minnesota communities.</w:t>
      </w:r>
    </w:p>
    <w:p w14:paraId="0CABED73" w14:textId="77777777" w:rsidR="00891EBF" w:rsidRDefault="00891EBF">
      <w:pPr>
        <w:pStyle w:val="Heading2"/>
        <w:divId w:val="919098372"/>
        <w:rPr>
          <w:rFonts w:eastAsia="Times New Roman"/>
        </w:rPr>
      </w:pPr>
      <w:r>
        <w:rPr>
          <w:rFonts w:eastAsia="Times New Roman"/>
        </w:rPr>
        <w:t>Sedative Associated Overdose Symptoms and Pharmacology</w:t>
      </w:r>
    </w:p>
    <w:p w14:paraId="3AC0FB11" w14:textId="77777777" w:rsidR="00891EBF" w:rsidRDefault="00891EBF" w:rsidP="00613201">
      <w:pPr>
        <w:divId w:val="919098372"/>
      </w:pPr>
      <w:r>
        <w:t xml:space="preserve">Veterinary sedatives like xylazine and medetomidine are being found mixed into opioids, nearly always in presence of fentanyl. Since these sedatives are not opioids, they will not respond directly to naloxone. </w:t>
      </w:r>
      <w:r>
        <w:rPr>
          <w:rStyle w:val="Strong"/>
        </w:rPr>
        <w:t xml:space="preserve">Naloxone should still be considered and administered to restore adequate breathing and may help improve unresponsiveness if the latter is due to opioid toxicity. </w:t>
      </w:r>
      <w:r>
        <w:t xml:space="preserve">However, providers and first responders should be aware that sedatives may cause people to remain sedated. </w:t>
      </w:r>
    </w:p>
    <w:p w14:paraId="186C8E0D" w14:textId="77777777" w:rsidR="00891EBF" w:rsidRDefault="00891EBF" w:rsidP="00613201">
      <w:pPr>
        <w:divId w:val="919098372"/>
      </w:pPr>
      <w:r>
        <w:t>While medetomidine toxicity and withdrawal have been described, this information is limited in humans. Some of the effects described have been consistent with those observed with therapeutic use and withdrawal of the similar FDA approved medication dexmedetomidine.</w:t>
      </w:r>
    </w:p>
    <w:p w14:paraId="17923828" w14:textId="77777777" w:rsidR="00891EBF" w:rsidRDefault="00891EBF">
      <w:pPr>
        <w:pStyle w:val="Heading2"/>
        <w:divId w:val="919098372"/>
        <w:rPr>
          <w:rFonts w:eastAsia="Times New Roman"/>
        </w:rPr>
      </w:pPr>
      <w:r>
        <w:rPr>
          <w:rFonts w:eastAsia="Times New Roman"/>
        </w:rPr>
        <w:lastRenderedPageBreak/>
        <w:t>Overdose Response and Withdrawal Treatment</w:t>
      </w:r>
    </w:p>
    <w:p w14:paraId="5F81092E" w14:textId="77777777" w:rsidR="00891EBF" w:rsidRDefault="00891EBF" w:rsidP="00613201">
      <w:pPr>
        <w:divId w:val="919098372"/>
      </w:pPr>
      <w:r>
        <w:t>Health providers should consider the possibility of exposure to sedatives when patients presenting with an overdose do not respond to naloxone. In these situations, provide supportive respiratory care and proper management of blood pressure. Overdose response should focus on restoring adequate respiratory status including breathing. Consciousness may not improve in the setting of sedative toxicity.</w:t>
      </w:r>
    </w:p>
    <w:p w14:paraId="744A21D1" w14:textId="77777777" w:rsidR="00891EBF" w:rsidRDefault="00891EBF" w:rsidP="00613201">
      <w:pPr>
        <w:divId w:val="919098372"/>
      </w:pPr>
      <w:r>
        <w:t>Sedative use, when stopped abruptly, can lead to severe withdrawal symptoms, including anxiety, irritability, restlessness, and hypertension. If admitted for inpatient care, clinicians must be prepared to manage sedative associated withdrawal symptoms simultaneously with opioid withdrawal.</w:t>
      </w:r>
    </w:p>
    <w:p w14:paraId="5B0055A5" w14:textId="77777777" w:rsidR="00891EBF" w:rsidRDefault="00891EBF">
      <w:pPr>
        <w:pStyle w:val="Heading2"/>
        <w:divId w:val="919098372"/>
        <w:rPr>
          <w:rFonts w:eastAsia="Times New Roman"/>
        </w:rPr>
      </w:pPr>
      <w:r>
        <w:rPr>
          <w:rFonts w:eastAsia="Times New Roman"/>
        </w:rPr>
        <w:t>For More Information</w:t>
      </w:r>
    </w:p>
    <w:p w14:paraId="36E28B8F" w14:textId="77777777" w:rsidR="00891EBF" w:rsidRDefault="00891EBF" w:rsidP="00891EBF">
      <w:pPr>
        <w:numPr>
          <w:ilvl w:val="0"/>
          <w:numId w:val="20"/>
        </w:numPr>
        <w:suppressAutoHyphens w:val="0"/>
        <w:spacing w:before="100" w:beforeAutospacing="1" w:after="100" w:afterAutospacing="1"/>
        <w:divId w:val="919098372"/>
        <w:rPr>
          <w:rFonts w:eastAsia="Times New Roman"/>
        </w:rPr>
      </w:pPr>
      <w:hyperlink r:id="rId15" w:history="1">
        <w:r>
          <w:rPr>
            <w:rStyle w:val="Hyperlink"/>
            <w:rFonts w:eastAsia="Times New Roman"/>
          </w:rPr>
          <w:t>MDH Minnesota Drug Overdose and Substance Use Surveillance Activity (MNDOSA) (https://www.health.state.mn.us/communities/injury/data/mndosa.html)</w:t>
        </w:r>
      </w:hyperlink>
    </w:p>
    <w:p w14:paraId="2C10C704" w14:textId="77777777" w:rsidR="00891EBF" w:rsidRDefault="00891EBF" w:rsidP="00891EBF">
      <w:pPr>
        <w:numPr>
          <w:ilvl w:val="0"/>
          <w:numId w:val="20"/>
        </w:numPr>
        <w:suppressAutoHyphens w:val="0"/>
        <w:spacing w:before="100" w:beforeAutospacing="1" w:after="100" w:afterAutospacing="1"/>
        <w:divId w:val="919098372"/>
        <w:rPr>
          <w:rFonts w:eastAsia="Times New Roman"/>
        </w:rPr>
      </w:pPr>
      <w:hyperlink r:id="rId16" w:history="1">
        <w:r>
          <w:rPr>
            <w:rStyle w:val="Hyperlink"/>
            <w:rFonts w:eastAsia="Times New Roman"/>
          </w:rPr>
          <w:t>MN Poison Control Center (https://mnpoison.org/)</w:t>
        </w:r>
      </w:hyperlink>
    </w:p>
    <w:p w14:paraId="1AAFA4AB" w14:textId="77777777" w:rsidR="00891EBF" w:rsidRDefault="00891EBF" w:rsidP="00891EBF">
      <w:pPr>
        <w:numPr>
          <w:ilvl w:val="0"/>
          <w:numId w:val="20"/>
        </w:numPr>
        <w:suppressAutoHyphens w:val="0"/>
        <w:spacing w:before="100" w:beforeAutospacing="1" w:after="100" w:afterAutospacing="1"/>
        <w:divId w:val="919098372"/>
        <w:rPr>
          <w:rFonts w:eastAsia="Times New Roman"/>
        </w:rPr>
      </w:pPr>
      <w:hyperlink r:id="rId17" w:history="1">
        <w:r>
          <w:rPr>
            <w:rStyle w:val="Hyperlink"/>
            <w:rFonts w:eastAsia="Times New Roman"/>
          </w:rPr>
          <w:t>Philadelphia HAN: Medetomidine, a potent non-opioid veterinary sedative, has been detected in the illicit drug supply (https://hip.phila.gov/document/4421/PDPH-HAN-0441A-05-13-24.pdf)</w:t>
        </w:r>
      </w:hyperlink>
    </w:p>
    <w:p w14:paraId="5F4D0125" w14:textId="77777777" w:rsidR="00891EBF" w:rsidRDefault="00891EBF" w:rsidP="00891EBF">
      <w:pPr>
        <w:numPr>
          <w:ilvl w:val="0"/>
          <w:numId w:val="20"/>
        </w:numPr>
        <w:suppressAutoHyphens w:val="0"/>
        <w:spacing w:before="100" w:beforeAutospacing="1" w:after="100" w:afterAutospacing="1"/>
        <w:divId w:val="919098372"/>
        <w:rPr>
          <w:rFonts w:eastAsia="Times New Roman"/>
        </w:rPr>
      </w:pPr>
      <w:hyperlink r:id="rId18" w:history="1">
        <w:r>
          <w:rPr>
            <w:rStyle w:val="Hyperlink"/>
            <w:rFonts w:eastAsia="Times New Roman"/>
          </w:rPr>
          <w:t>Chicago HAN: Medetomidine in Chicago’s Drug Supply May 20, 2024 (https://www.chicagohan.org/alert-detail/-/alert-details/46684184)</w:t>
        </w:r>
      </w:hyperlink>
    </w:p>
    <w:p w14:paraId="2831DE28" w14:textId="77777777" w:rsidR="00891EBF" w:rsidRDefault="00891EBF" w:rsidP="00891EBF">
      <w:pPr>
        <w:numPr>
          <w:ilvl w:val="0"/>
          <w:numId w:val="20"/>
        </w:numPr>
        <w:suppressAutoHyphens w:val="0"/>
        <w:spacing w:before="100" w:beforeAutospacing="1" w:after="100" w:afterAutospacing="1"/>
        <w:divId w:val="919098372"/>
        <w:rPr>
          <w:rFonts w:eastAsia="Times New Roman"/>
        </w:rPr>
      </w:pPr>
      <w:hyperlink r:id="rId19" w:history="1">
        <w:r>
          <w:rPr>
            <w:rStyle w:val="Hyperlink"/>
            <w:rFonts w:eastAsia="Times New Roman"/>
          </w:rPr>
          <w:t>MMWR: Overdoses Involving Medetomidine Mixed with Opioids (https://www.cdc.gov/mmwr/volumes/74/wr/mm7415a1.htm?s_cid=mm7415a1_w)</w:t>
        </w:r>
      </w:hyperlink>
    </w:p>
    <w:p w14:paraId="1C2465B9" w14:textId="77777777" w:rsidR="00891EBF" w:rsidRDefault="00891EBF" w:rsidP="00891EBF">
      <w:pPr>
        <w:numPr>
          <w:ilvl w:val="0"/>
          <w:numId w:val="20"/>
        </w:numPr>
        <w:suppressAutoHyphens w:val="0"/>
        <w:spacing w:before="100" w:beforeAutospacing="1" w:after="100" w:afterAutospacing="1"/>
        <w:divId w:val="919098372"/>
        <w:rPr>
          <w:rFonts w:eastAsia="Times New Roman"/>
        </w:rPr>
      </w:pPr>
      <w:hyperlink r:id="rId20" w:history="1">
        <w:r>
          <w:rPr>
            <w:rStyle w:val="Hyperlink"/>
            <w:rFonts w:eastAsia="Times New Roman"/>
          </w:rPr>
          <w:t>AP: Animal sedative medetomidine is showing up in the US illegal drug supply, CDC says (https://apnews.com/article/cdc-animal-sedative-medetomidine-40e02b935d1c37189da4b9cd6ccd3210)</w:t>
        </w:r>
      </w:hyperlink>
    </w:p>
    <w:p w14:paraId="3B5F1EBB" w14:textId="77777777" w:rsidR="00891EBF" w:rsidRDefault="00891EBF" w:rsidP="00613201">
      <w:pPr>
        <w:divId w:val="919098372"/>
      </w:pPr>
      <w:r>
        <w:t>A copy of this HAN is available at: </w:t>
      </w:r>
      <w:hyperlink r:id="rId21" w:history="1">
        <w:r>
          <w:rPr>
            <w:rStyle w:val="Hyperlink"/>
          </w:rPr>
          <w:t>MDH Health Alert Network (www.health.state.mn.us/communities/ep/han/)</w:t>
        </w:r>
      </w:hyperlink>
      <w:r>
        <w:br/>
        <w:t xml:space="preserve">The content of this message is intended for public health and health care personnel and response partners who have a need to know the information to perform their duties. </w:t>
      </w:r>
    </w:p>
    <w:p w14:paraId="4B2AD26F" w14:textId="77777777" w:rsidR="00891EBF" w:rsidRDefault="00891EBF">
      <w:pPr>
        <w:pStyle w:val="NormalWeb"/>
        <w:divId w:val="919098372"/>
      </w:pPr>
      <w:r>
        <w:t> </w:t>
      </w:r>
    </w:p>
    <w:p w14:paraId="613F7953" w14:textId="77777777" w:rsidR="00891EBF" w:rsidRPr="00891EBF" w:rsidRDefault="00891EBF" w:rsidP="00891EBF"/>
    <w:sectPr w:rsidR="00891EBF" w:rsidRPr="00891EBF" w:rsidSect="00F61439">
      <w:headerReference w:type="default" r:id="rId22"/>
      <w:footerReference w:type="default" r:id="rId23"/>
      <w:footerReference w:type="first" r:id="rId24"/>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10D6C" w14:textId="77777777" w:rsidR="006D697F" w:rsidRDefault="006D697F" w:rsidP="00D36495">
      <w:r>
        <w:separator/>
      </w:r>
    </w:p>
  </w:endnote>
  <w:endnote w:type="continuationSeparator" w:id="0">
    <w:p w14:paraId="1ABC947C" w14:textId="77777777" w:rsidR="006D697F" w:rsidRDefault="006D697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353500"/>
      <w:docPartObj>
        <w:docPartGallery w:val="Page Numbers (Bottom of Page)"/>
        <w:docPartUnique/>
      </w:docPartObj>
    </w:sdtPr>
    <w:sdtEndPr/>
    <w:sdtContent>
      <w:p w14:paraId="64196F1A"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68000"/>
      <w:docPartObj>
        <w:docPartGallery w:val="Page Numbers (Bottom of Page)"/>
        <w:docPartUnique/>
      </w:docPartObj>
    </w:sdtPr>
    <w:sdtEndPr>
      <w:rPr>
        <w:rStyle w:val="HeaderChar"/>
        <w:caps/>
        <w:color w:val="003865" w:themeColor="text1"/>
        <w:spacing w:val="40"/>
        <w:sz w:val="20"/>
      </w:rPr>
    </w:sdtEndPr>
    <w:sdtContent>
      <w:p w14:paraId="1D77E06D"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5505B" w14:textId="77777777" w:rsidR="006D697F" w:rsidRDefault="006D697F" w:rsidP="00D36495">
      <w:r>
        <w:separator/>
      </w:r>
    </w:p>
  </w:footnote>
  <w:footnote w:type="continuationSeparator" w:id="0">
    <w:p w14:paraId="72C99004" w14:textId="77777777" w:rsidR="006D697F" w:rsidRDefault="006D697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5508" w14:textId="2F9A3EB8" w:rsidR="00782710" w:rsidRPr="00F57C02" w:rsidRDefault="00F57C02" w:rsidP="00F57C02">
    <w:pPr>
      <w:pStyle w:val="Header"/>
    </w:pPr>
    <w:r w:rsidRPr="00F57C02">
      <w:t xml:space="preserve">Health Advisory: </w:t>
    </w:r>
    <w:r w:rsidR="00B05C32" w:rsidRPr="00B05C32">
      <w:t>Sedative Associated Overdose</w:t>
    </w:r>
    <w:r w:rsidR="00B05C32">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43F1B92"/>
    <w:multiLevelType w:val="multilevel"/>
    <w:tmpl w:val="C37041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1" w15:restartNumberingAfterBreak="0">
    <w:nsid w:val="1EDC13B7"/>
    <w:multiLevelType w:val="multilevel"/>
    <w:tmpl w:val="88B4C196"/>
    <w:numStyleLink w:val="Listbullets"/>
  </w:abstractNum>
  <w:abstractNum w:abstractNumId="12" w15:restartNumberingAfterBreak="0">
    <w:nsid w:val="24DF42D3"/>
    <w:multiLevelType w:val="multilevel"/>
    <w:tmpl w:val="A8E2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147EF"/>
    <w:multiLevelType w:val="multilevel"/>
    <w:tmpl w:val="88B4C196"/>
    <w:numStyleLink w:val="Listbullets"/>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3D3279D8"/>
    <w:multiLevelType w:val="multilevel"/>
    <w:tmpl w:val="2DF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7" w15:restartNumberingAfterBreak="0">
    <w:nsid w:val="5B1D32B3"/>
    <w:multiLevelType w:val="multilevel"/>
    <w:tmpl w:val="7494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442340532">
    <w:abstractNumId w:val="5"/>
  </w:num>
  <w:num w:numId="2" w16cid:durableId="1894808711">
    <w:abstractNumId w:val="1"/>
  </w:num>
  <w:num w:numId="3" w16cid:durableId="1754232670">
    <w:abstractNumId w:val="14"/>
  </w:num>
  <w:num w:numId="4" w16cid:durableId="1299337693">
    <w:abstractNumId w:val="19"/>
  </w:num>
  <w:num w:numId="5" w16cid:durableId="513300668">
    <w:abstractNumId w:val="10"/>
  </w:num>
  <w:num w:numId="6" w16cid:durableId="328140766">
    <w:abstractNumId w:val="8"/>
  </w:num>
  <w:num w:numId="7" w16cid:durableId="1905752200">
    <w:abstractNumId w:val="13"/>
  </w:num>
  <w:num w:numId="8" w16cid:durableId="1842693579">
    <w:abstractNumId w:val="11"/>
  </w:num>
  <w:num w:numId="9" w16cid:durableId="1463692416">
    <w:abstractNumId w:val="18"/>
  </w:num>
  <w:num w:numId="10" w16cid:durableId="412122893">
    <w:abstractNumId w:val="16"/>
  </w:num>
  <w:num w:numId="11" w16cid:durableId="1377119972">
    <w:abstractNumId w:val="4"/>
  </w:num>
  <w:num w:numId="12" w16cid:durableId="429155797">
    <w:abstractNumId w:val="0"/>
  </w:num>
  <w:num w:numId="13" w16cid:durableId="788550610">
    <w:abstractNumId w:val="7"/>
  </w:num>
  <w:num w:numId="14" w16cid:durableId="178348799">
    <w:abstractNumId w:val="6"/>
  </w:num>
  <w:num w:numId="15" w16cid:durableId="934627865">
    <w:abstractNumId w:val="3"/>
  </w:num>
  <w:num w:numId="16" w16cid:durableId="648292658">
    <w:abstractNumId w:val="2"/>
  </w:num>
  <w:num w:numId="17" w16cid:durableId="1275402989">
    <w:abstractNumId w:val="9"/>
  </w:num>
  <w:num w:numId="18" w16cid:durableId="725681571">
    <w:abstractNumId w:val="12"/>
  </w:num>
  <w:num w:numId="19" w16cid:durableId="397748337">
    <w:abstractNumId w:val="17"/>
  </w:num>
  <w:num w:numId="20" w16cid:durableId="209146099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7F"/>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1E71"/>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D7A4A"/>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97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3C77"/>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3B51"/>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201"/>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25BF"/>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4D53"/>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697F"/>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E7C74"/>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EBF"/>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13"/>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0E42"/>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0D1B"/>
    <w:rsid w:val="00B013C4"/>
    <w:rsid w:val="00B01CE7"/>
    <w:rsid w:val="00B02262"/>
    <w:rsid w:val="00B02A6D"/>
    <w:rsid w:val="00B043C8"/>
    <w:rsid w:val="00B04938"/>
    <w:rsid w:val="00B04B07"/>
    <w:rsid w:val="00B04D4A"/>
    <w:rsid w:val="00B05C32"/>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DBF"/>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96"/>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0996"/>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BC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28C0"/>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C02"/>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A4713"/>
  <w15:docId w15:val="{5AC07050-5FBC-4903-9423-CFADB7F7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9"/>
    <w:qFormat/>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9"/>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6D697F"/>
    <w:pPr>
      <w:suppressAutoHyphens w:val="0"/>
      <w:spacing w:before="100" w:beforeAutospacing="1" w:after="100" w:afterAutospacing="1"/>
    </w:pPr>
    <w:rPr>
      <w:rFonts w:ascii="Times New Roman" w:hAnsi="Times New Roman" w:cs="Times New Roman"/>
      <w:szCs w:val="24"/>
    </w:rPr>
  </w:style>
  <w:style w:type="character" w:styleId="UnresolvedMention">
    <w:name w:val="Unresolved Mention"/>
    <w:basedOn w:val="DefaultParagraphFont"/>
    <w:uiPriority w:val="99"/>
    <w:semiHidden/>
    <w:unhideWhenUsed/>
    <w:rsid w:val="00940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919098372">
      <w:bodyDiv w:val="1"/>
      <w:marLeft w:val="0"/>
      <w:marRight w:val="0"/>
      <w:marTop w:val="0"/>
      <w:marBottom w:val="0"/>
      <w:divBdr>
        <w:top w:val="none" w:sz="0" w:space="0" w:color="auto"/>
        <w:left w:val="none" w:sz="0" w:space="0" w:color="auto"/>
        <w:bottom w:val="none" w:sz="0" w:space="0" w:color="auto"/>
        <w:right w:val="none" w:sz="0" w:space="0" w:color="auto"/>
      </w:divBdr>
    </w:div>
    <w:div w:id="1584483499">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communities/injury/data/mndosa.html" TargetMode="External"/><Relationship Id="rId18" Type="http://schemas.openxmlformats.org/officeDocument/2006/relationships/hyperlink" Target="https://www.chicagohan.org/alert-detail/-/alert-details/4668418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state.mn.us/communities/ep/han"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hip.phila.gov/document/4421/PDPH-HAN-0441A-05-13-2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npoison.org/" TargetMode="External"/><Relationship Id="rId20" Type="http://schemas.openxmlformats.org/officeDocument/2006/relationships/hyperlink" Target="https://apnews.com/article/cdc-animal-sedative-medetomidine-40e02b935d1c37189da4b9cd6ccd32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health.state.mn.us/communities/injury/data/mndosa.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dc.gov/mmwr/volumes/74/wr/mm7415a1.htm?s_cid=mm7415a1_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2.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57BF5A84-D146-4B84-B77D-38529A5E057B}">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8837c207-459e-4c9e-ae67-73e2034e87a2"/>
    <ds:schemaRef ds:uri="http://purl.org/dc/elements/1.1/"/>
    <ds:schemaRef ds:uri="http://schemas.microsoft.com/office/2006/documentManagement/types"/>
    <ds:schemaRef ds:uri="http://purl.org/dc/terms/"/>
    <ds:schemaRef ds:uri="fc253db8-c1a2-4032-adc2-d3fbd160fc76"/>
    <ds:schemaRef ds:uri="98f01fe9-c3f2-4582-9148-d87bd0c242e7"/>
    <ds:schemaRef ds:uri="http://purl.org/dc/dcmitype/"/>
  </ds:schemaRefs>
</ds:datastoreItem>
</file>

<file path=customXml/itemProps5.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4</TotalTime>
  <Pages>3</Pages>
  <Words>679</Words>
  <Characters>5215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Health Advisory: Sedative Associated Overdoses</vt:lpstr>
    </vt:vector>
  </TitlesOfParts>
  <Company>State of Minnesota</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Sedative Associated Overdoses</dc:title>
  <dc:subject/>
  <dc:creator>Toby McAdams</dc:creator>
  <cp:keywords/>
  <dc:description>Document template version 2.2</dc:description>
  <cp:lastModifiedBy>McAdams, Toby (MDH)</cp:lastModifiedBy>
  <cp:revision>4</cp:revision>
  <cp:lastPrinted>2016-12-14T18:03:00Z</cp:lastPrinted>
  <dcterms:created xsi:type="dcterms:W3CDTF">2025-07-29T13:39:00Z</dcterms:created>
  <dcterms:modified xsi:type="dcterms:W3CDTF">2025-07-29T13:42:00Z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