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92564" w14:textId="77777777" w:rsidR="002565C6" w:rsidRDefault="00C7545E" w:rsidP="00A907F1">
      <w:pPr>
        <w:widowControl/>
        <w:tabs>
          <w:tab w:val="left" w:pos="2430"/>
          <w:tab w:val="center" w:pos="11160"/>
        </w:tabs>
      </w:pPr>
      <w:r w:rsidRPr="00C7545E">
        <w:rPr>
          <w:b/>
        </w:rPr>
        <w:t>[</w:t>
      </w:r>
      <w:r>
        <w:rPr>
          <w:b/>
        </w:rPr>
        <w:t xml:space="preserve">REVISED IN </w:t>
      </w:r>
      <w:r w:rsidR="000504C4">
        <w:rPr>
          <w:b/>
        </w:rPr>
        <w:t>2020</w:t>
      </w:r>
      <w:r w:rsidR="00E26A97">
        <w:rPr>
          <w:b/>
        </w:rPr>
        <w:t>**</w:t>
      </w:r>
      <w:r>
        <w:rPr>
          <w:b/>
        </w:rPr>
        <w:t>]</w:t>
      </w:r>
      <w:r>
        <w:rPr>
          <w:b/>
        </w:rPr>
        <w:tab/>
      </w:r>
      <w:r w:rsidR="002565C6" w:rsidRPr="00A907F1">
        <w:rPr>
          <w:b/>
          <w:bCs/>
          <w:sz w:val="28"/>
          <w:szCs w:val="28"/>
        </w:rPr>
        <w:t>ESTIMATED COSTS FOR RULEMAKING</w:t>
      </w:r>
      <w:r w:rsidR="00C44BE4" w:rsidRPr="00A907F1">
        <w:rPr>
          <w:b/>
          <w:bCs/>
          <w:sz w:val="28"/>
          <w:szCs w:val="28"/>
        </w:rPr>
        <w:t>*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440"/>
        <w:gridCol w:w="1440"/>
        <w:gridCol w:w="1980"/>
      </w:tblGrid>
      <w:tr w:rsidR="002565C6" w14:paraId="37C1E140" w14:textId="77777777" w:rsidTr="00CE3BDF">
        <w:trPr>
          <w:tblHeader/>
        </w:trPr>
        <w:tc>
          <w:tcPr>
            <w:tcW w:w="3240" w:type="dxa"/>
          </w:tcPr>
          <w:p w14:paraId="220C3230" w14:textId="77777777" w:rsidR="002565C6" w:rsidRPr="000739CF" w:rsidRDefault="002565C6" w:rsidP="0073069A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EE3281" w14:textId="77777777" w:rsidR="002565C6" w:rsidRPr="000739CF" w:rsidRDefault="002565C6" w:rsidP="0073069A">
            <w:pPr>
              <w:spacing w:before="120" w:line="120" w:lineRule="exact"/>
              <w:rPr>
                <w:sz w:val="22"/>
                <w:szCs w:val="22"/>
              </w:rPr>
            </w:pPr>
          </w:p>
          <w:p w14:paraId="75145B3F" w14:textId="77777777" w:rsidR="002565C6" w:rsidRPr="000739CF" w:rsidRDefault="00965A83" w:rsidP="0073069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Major</w:t>
            </w:r>
          </w:p>
          <w:p w14:paraId="28FD7EAB" w14:textId="77777777" w:rsidR="002565C6" w:rsidRPr="000739CF" w:rsidRDefault="002565C6" w:rsidP="0073069A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  <w:u w:val="single"/>
              </w:rPr>
              <w:t>Rule</w:t>
            </w:r>
          </w:p>
        </w:tc>
        <w:tc>
          <w:tcPr>
            <w:tcW w:w="1440" w:type="dxa"/>
          </w:tcPr>
          <w:p w14:paraId="1FF1267D" w14:textId="77777777" w:rsidR="002565C6" w:rsidRPr="000739CF" w:rsidRDefault="002565C6" w:rsidP="0073069A">
            <w:pPr>
              <w:spacing w:before="120" w:line="120" w:lineRule="exact"/>
              <w:rPr>
                <w:sz w:val="22"/>
                <w:szCs w:val="22"/>
              </w:rPr>
            </w:pPr>
          </w:p>
          <w:p w14:paraId="015E3E04" w14:textId="77777777" w:rsidR="00965A83" w:rsidRPr="000739CF" w:rsidRDefault="002565C6" w:rsidP="0073069A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Medium</w:t>
            </w:r>
          </w:p>
          <w:p w14:paraId="177DC033" w14:textId="77777777" w:rsidR="002565C6" w:rsidRPr="000739CF" w:rsidRDefault="002565C6" w:rsidP="0073069A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  <w:u w:val="single"/>
              </w:rPr>
              <w:t>Rule</w:t>
            </w:r>
          </w:p>
        </w:tc>
        <w:tc>
          <w:tcPr>
            <w:tcW w:w="1440" w:type="dxa"/>
          </w:tcPr>
          <w:p w14:paraId="4E432677" w14:textId="77777777" w:rsidR="002565C6" w:rsidRPr="000739CF" w:rsidRDefault="002565C6" w:rsidP="009503C4">
            <w:pPr>
              <w:spacing w:before="120" w:line="120" w:lineRule="exact"/>
              <w:rPr>
                <w:sz w:val="22"/>
                <w:szCs w:val="22"/>
              </w:rPr>
            </w:pPr>
          </w:p>
          <w:p w14:paraId="01278295" w14:textId="77777777" w:rsidR="002565C6" w:rsidRPr="000739CF" w:rsidRDefault="00965A83" w:rsidP="009503C4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Small</w:t>
            </w:r>
          </w:p>
          <w:p w14:paraId="63C933BE" w14:textId="77777777" w:rsidR="002565C6" w:rsidRPr="000739CF" w:rsidRDefault="002565C6" w:rsidP="009503C4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  <w:r w:rsidRPr="009503C4">
              <w:rPr>
                <w:sz w:val="22"/>
                <w:szCs w:val="22"/>
                <w:u w:val="single"/>
              </w:rPr>
              <w:t>Rule</w:t>
            </w:r>
          </w:p>
        </w:tc>
        <w:tc>
          <w:tcPr>
            <w:tcW w:w="1980" w:type="dxa"/>
          </w:tcPr>
          <w:p w14:paraId="38D2E0E8" w14:textId="77777777" w:rsidR="002565C6" w:rsidRPr="000739CF" w:rsidRDefault="002565C6" w:rsidP="009503C4">
            <w:pPr>
              <w:widowControl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Noncontroversial Procedural</w:t>
            </w:r>
          </w:p>
          <w:p w14:paraId="0D0B0445" w14:textId="77777777" w:rsidR="002565C6" w:rsidRPr="000739CF" w:rsidRDefault="002565C6" w:rsidP="009503C4">
            <w:pPr>
              <w:widowControl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1-2 page</w:t>
            </w:r>
          </w:p>
          <w:p w14:paraId="7AAF7253" w14:textId="77777777" w:rsidR="002565C6" w:rsidRPr="000739CF" w:rsidRDefault="002565C6" w:rsidP="009503C4">
            <w:pPr>
              <w:widowControl/>
              <w:spacing w:after="58"/>
              <w:jc w:val="center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  <w:u w:val="single"/>
              </w:rPr>
              <w:t>Amendment</w:t>
            </w:r>
          </w:p>
        </w:tc>
      </w:tr>
      <w:tr w:rsidR="002565C6" w14:paraId="184D9C40" w14:textId="77777777" w:rsidTr="00CE3BDF">
        <w:tc>
          <w:tcPr>
            <w:tcW w:w="3240" w:type="dxa"/>
          </w:tcPr>
          <w:p w14:paraId="23EB1AE9" w14:textId="77777777" w:rsidR="002565C6" w:rsidRPr="00A907F1" w:rsidRDefault="002565C6" w:rsidP="0073069A">
            <w:pPr>
              <w:widowControl/>
              <w:spacing w:before="120" w:after="58"/>
              <w:rPr>
                <w:b/>
                <w:sz w:val="22"/>
                <w:szCs w:val="22"/>
              </w:rPr>
            </w:pPr>
            <w:r w:rsidRPr="00A907F1">
              <w:rPr>
                <w:b/>
                <w:sz w:val="22"/>
                <w:szCs w:val="22"/>
              </w:rPr>
              <w:t>Staffing Costs</w:t>
            </w:r>
          </w:p>
        </w:tc>
        <w:tc>
          <w:tcPr>
            <w:tcW w:w="1440" w:type="dxa"/>
          </w:tcPr>
          <w:p w14:paraId="0D741B23" w14:textId="77777777" w:rsidR="002565C6" w:rsidRPr="000739CF" w:rsidRDefault="002565C6" w:rsidP="0073069A">
            <w:pPr>
              <w:widowControl/>
              <w:spacing w:before="120" w:after="5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41D3EC" w14:textId="77777777" w:rsidR="002565C6" w:rsidRPr="000739CF" w:rsidRDefault="002565C6" w:rsidP="0073069A">
            <w:pPr>
              <w:widowControl/>
              <w:spacing w:before="120" w:after="5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6BE625" w14:textId="77777777" w:rsidR="002565C6" w:rsidRPr="000739CF" w:rsidRDefault="002565C6" w:rsidP="0073069A">
            <w:pPr>
              <w:widowControl/>
              <w:spacing w:before="120" w:after="58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868D203" w14:textId="77777777" w:rsidR="002565C6" w:rsidRPr="000739CF" w:rsidRDefault="002565C6" w:rsidP="0073069A">
            <w:pPr>
              <w:widowControl/>
              <w:spacing w:before="120" w:after="58"/>
              <w:rPr>
                <w:sz w:val="22"/>
                <w:szCs w:val="22"/>
              </w:rPr>
            </w:pPr>
          </w:p>
        </w:tc>
      </w:tr>
      <w:tr w:rsidR="002565C6" w14:paraId="4A6F7074" w14:textId="77777777" w:rsidTr="00CE3BDF">
        <w:tc>
          <w:tcPr>
            <w:tcW w:w="3240" w:type="dxa"/>
          </w:tcPr>
          <w:p w14:paraId="747010F3" w14:textId="77777777" w:rsidR="002565C6" w:rsidRPr="000739CF" w:rsidRDefault="002565C6" w:rsidP="0073069A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Program staff ($</w:t>
            </w:r>
            <w:r w:rsidR="00D36E00" w:rsidRPr="000739CF">
              <w:rPr>
                <w:sz w:val="22"/>
                <w:szCs w:val="22"/>
              </w:rPr>
              <w:t>40</w:t>
            </w:r>
            <w:r w:rsidRPr="000739CF">
              <w:rPr>
                <w:sz w:val="22"/>
                <w:szCs w:val="22"/>
              </w:rPr>
              <w:t xml:space="preserve"> w/fringe)</w:t>
            </w:r>
          </w:p>
        </w:tc>
        <w:tc>
          <w:tcPr>
            <w:tcW w:w="1440" w:type="dxa"/>
          </w:tcPr>
          <w:p w14:paraId="0A4721FB" w14:textId="77777777" w:rsidR="002565C6" w:rsidRPr="000739CF" w:rsidRDefault="00A13E0A" w:rsidP="00A13E0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124,800</w:t>
            </w:r>
          </w:p>
        </w:tc>
        <w:tc>
          <w:tcPr>
            <w:tcW w:w="1440" w:type="dxa"/>
          </w:tcPr>
          <w:p w14:paraId="65EF5CA5" w14:textId="77777777" w:rsidR="002565C6" w:rsidRPr="000739CF" w:rsidRDefault="00D36E00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62,420</w:t>
            </w:r>
          </w:p>
        </w:tc>
        <w:tc>
          <w:tcPr>
            <w:tcW w:w="1440" w:type="dxa"/>
          </w:tcPr>
          <w:p w14:paraId="2AC20434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</w:t>
            </w:r>
            <w:r w:rsidR="00D36E00" w:rsidRPr="000739CF">
              <w:rPr>
                <w:sz w:val="22"/>
                <w:szCs w:val="22"/>
              </w:rPr>
              <w:t>4</w:t>
            </w:r>
            <w:r w:rsidRPr="000739CF">
              <w:rPr>
                <w:sz w:val="22"/>
                <w:szCs w:val="22"/>
              </w:rPr>
              <w:t>,</w:t>
            </w:r>
            <w:r w:rsidR="00D36E00" w:rsidRPr="000739CF">
              <w:rPr>
                <w:sz w:val="22"/>
                <w:szCs w:val="22"/>
              </w:rPr>
              <w:t>0</w:t>
            </w:r>
            <w:r w:rsidRPr="000739CF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702805B2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3,</w:t>
            </w:r>
            <w:r w:rsidR="00EA643A" w:rsidRPr="000739CF">
              <w:rPr>
                <w:sz w:val="22"/>
                <w:szCs w:val="22"/>
              </w:rPr>
              <w:t>6</w:t>
            </w:r>
            <w:r w:rsidRPr="000739CF">
              <w:rPr>
                <w:sz w:val="22"/>
                <w:szCs w:val="22"/>
              </w:rPr>
              <w:t>00</w:t>
            </w:r>
          </w:p>
        </w:tc>
      </w:tr>
      <w:tr w:rsidR="002565C6" w14:paraId="43CE5747" w14:textId="77777777" w:rsidTr="00CE3BDF">
        <w:tc>
          <w:tcPr>
            <w:tcW w:w="3240" w:type="dxa"/>
          </w:tcPr>
          <w:p w14:paraId="3039F679" w14:textId="77777777" w:rsidR="002565C6" w:rsidRPr="000739CF" w:rsidRDefault="002565C6" w:rsidP="0073069A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Rules staff ($</w:t>
            </w:r>
            <w:r w:rsidR="00D36E00" w:rsidRPr="000739CF">
              <w:rPr>
                <w:sz w:val="22"/>
                <w:szCs w:val="22"/>
              </w:rPr>
              <w:t>40</w:t>
            </w:r>
            <w:r w:rsidRPr="000739CF">
              <w:rPr>
                <w:sz w:val="22"/>
                <w:szCs w:val="22"/>
              </w:rPr>
              <w:t xml:space="preserve"> w/fringe)</w:t>
            </w:r>
          </w:p>
        </w:tc>
        <w:tc>
          <w:tcPr>
            <w:tcW w:w="1440" w:type="dxa"/>
          </w:tcPr>
          <w:p w14:paraId="3AB13BC0" w14:textId="77777777" w:rsidR="002565C6" w:rsidRPr="000739CF" w:rsidRDefault="00A13E0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124,800</w:t>
            </w:r>
          </w:p>
        </w:tc>
        <w:tc>
          <w:tcPr>
            <w:tcW w:w="1440" w:type="dxa"/>
          </w:tcPr>
          <w:p w14:paraId="3C4E0CA4" w14:textId="77777777" w:rsidR="002565C6" w:rsidRPr="000739CF" w:rsidRDefault="00D36E00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41,600</w:t>
            </w:r>
          </w:p>
        </w:tc>
        <w:tc>
          <w:tcPr>
            <w:tcW w:w="1440" w:type="dxa"/>
          </w:tcPr>
          <w:p w14:paraId="1947CBE4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1</w:t>
            </w:r>
            <w:r w:rsidR="00D36E00" w:rsidRPr="000739CF">
              <w:rPr>
                <w:sz w:val="22"/>
                <w:szCs w:val="22"/>
              </w:rPr>
              <w:t>2</w:t>
            </w:r>
            <w:r w:rsidRPr="000739CF">
              <w:rPr>
                <w:sz w:val="22"/>
                <w:szCs w:val="22"/>
              </w:rPr>
              <w:t>,</w:t>
            </w:r>
            <w:r w:rsidR="00D36E00" w:rsidRPr="000739CF">
              <w:rPr>
                <w:sz w:val="22"/>
                <w:szCs w:val="22"/>
              </w:rPr>
              <w:t>0</w:t>
            </w:r>
            <w:r w:rsidRPr="000739CF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7265BB46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2,</w:t>
            </w:r>
            <w:r w:rsidR="00D36E00" w:rsidRPr="000739CF">
              <w:rPr>
                <w:sz w:val="22"/>
                <w:szCs w:val="22"/>
              </w:rPr>
              <w:t>4</w:t>
            </w:r>
            <w:r w:rsidRPr="000739CF">
              <w:rPr>
                <w:sz w:val="22"/>
                <w:szCs w:val="22"/>
              </w:rPr>
              <w:t>00</w:t>
            </w:r>
          </w:p>
        </w:tc>
      </w:tr>
      <w:tr w:rsidR="002565C6" w14:paraId="046247C1" w14:textId="77777777" w:rsidTr="00CE3BDF">
        <w:tc>
          <w:tcPr>
            <w:tcW w:w="3240" w:type="dxa"/>
          </w:tcPr>
          <w:p w14:paraId="5DF71988" w14:textId="77777777" w:rsidR="002565C6" w:rsidRPr="000739CF" w:rsidRDefault="002565C6" w:rsidP="009A465A">
            <w:pPr>
              <w:widowControl/>
              <w:spacing w:before="120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Clerical support ($</w:t>
            </w:r>
            <w:r w:rsidR="00D36E00" w:rsidRPr="000739CF">
              <w:rPr>
                <w:sz w:val="22"/>
                <w:szCs w:val="22"/>
              </w:rPr>
              <w:t>26</w:t>
            </w:r>
            <w:r w:rsidRPr="000739CF">
              <w:rPr>
                <w:sz w:val="22"/>
                <w:szCs w:val="22"/>
              </w:rPr>
              <w:t xml:space="preserve"> w/fringe)</w:t>
            </w:r>
          </w:p>
        </w:tc>
        <w:tc>
          <w:tcPr>
            <w:tcW w:w="1440" w:type="dxa"/>
          </w:tcPr>
          <w:p w14:paraId="6B9B4EF8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8,</w:t>
            </w:r>
            <w:r w:rsidR="004F444D" w:rsidRPr="000739CF">
              <w:rPr>
                <w:sz w:val="22"/>
                <w:szCs w:val="22"/>
              </w:rPr>
              <w:t>32</w:t>
            </w:r>
            <w:r w:rsidR="00AD41B9" w:rsidRPr="000739C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403174C2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5,</w:t>
            </w:r>
            <w:r w:rsidR="004F444D" w:rsidRPr="000739CF">
              <w:rPr>
                <w:sz w:val="22"/>
                <w:szCs w:val="22"/>
              </w:rPr>
              <w:t>2</w:t>
            </w:r>
            <w:r w:rsidR="00AD41B9" w:rsidRPr="000739CF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14:paraId="44590946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3,</w:t>
            </w:r>
            <w:r w:rsidR="00EA643A" w:rsidRPr="000739CF">
              <w:rPr>
                <w:sz w:val="22"/>
                <w:szCs w:val="22"/>
              </w:rPr>
              <w:t>900</w:t>
            </w:r>
          </w:p>
        </w:tc>
        <w:tc>
          <w:tcPr>
            <w:tcW w:w="1980" w:type="dxa"/>
          </w:tcPr>
          <w:p w14:paraId="26C59142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1,</w:t>
            </w:r>
            <w:r w:rsidR="00AD41B9" w:rsidRPr="000739CF">
              <w:rPr>
                <w:sz w:val="22"/>
                <w:szCs w:val="22"/>
              </w:rPr>
              <w:t>5</w:t>
            </w:r>
            <w:r w:rsidR="004F444D" w:rsidRPr="000739CF">
              <w:rPr>
                <w:sz w:val="22"/>
                <w:szCs w:val="22"/>
              </w:rPr>
              <w:t>6</w:t>
            </w:r>
            <w:r w:rsidR="00AD41B9" w:rsidRPr="000739CF">
              <w:rPr>
                <w:sz w:val="22"/>
                <w:szCs w:val="22"/>
              </w:rPr>
              <w:t>0</w:t>
            </w:r>
          </w:p>
        </w:tc>
      </w:tr>
      <w:tr w:rsidR="002565C6" w14:paraId="18DEFE5F" w14:textId="77777777" w:rsidTr="00CE3BDF">
        <w:tc>
          <w:tcPr>
            <w:tcW w:w="3240" w:type="dxa"/>
          </w:tcPr>
          <w:p w14:paraId="4967621F" w14:textId="77777777" w:rsidR="002565C6" w:rsidRPr="00A907F1" w:rsidRDefault="00782ECA" w:rsidP="00782ECA">
            <w:pPr>
              <w:widowControl/>
              <w:spacing w:before="120"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="002565C6" w:rsidRPr="00A907F1">
              <w:rPr>
                <w:b/>
                <w:sz w:val="22"/>
                <w:szCs w:val="22"/>
              </w:rPr>
              <w:t>Office of Attorney General</w:t>
            </w:r>
          </w:p>
        </w:tc>
        <w:tc>
          <w:tcPr>
            <w:tcW w:w="1440" w:type="dxa"/>
          </w:tcPr>
          <w:p w14:paraId="1E2C2325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4CFACA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3DE1A4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060448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</w:tr>
      <w:tr w:rsidR="002565C6" w:rsidRPr="009A465A" w14:paraId="0DC021AF" w14:textId="77777777" w:rsidTr="00CE3BDF">
        <w:tc>
          <w:tcPr>
            <w:tcW w:w="3240" w:type="dxa"/>
          </w:tcPr>
          <w:p w14:paraId="3DD14F8A" w14:textId="77777777" w:rsidR="002565C6" w:rsidRPr="004577CA" w:rsidRDefault="004E1F01" w:rsidP="00AB6B9C">
            <w:pPr>
              <w:widowControl/>
              <w:spacing w:before="120"/>
              <w:rPr>
                <w:b/>
                <w:sz w:val="22"/>
                <w:szCs w:val="22"/>
              </w:rPr>
            </w:pPr>
            <w:r w:rsidRPr="004577CA">
              <w:rPr>
                <w:b/>
                <w:sz w:val="22"/>
                <w:szCs w:val="22"/>
              </w:rPr>
              <w:t>L</w:t>
            </w:r>
            <w:r w:rsidR="002565C6" w:rsidRPr="004577CA">
              <w:rPr>
                <w:b/>
                <w:sz w:val="22"/>
                <w:szCs w:val="22"/>
              </w:rPr>
              <w:t xml:space="preserve">egal fees </w:t>
            </w:r>
            <w:r w:rsidR="00364795" w:rsidRPr="004577CA">
              <w:rPr>
                <w:b/>
                <w:sz w:val="22"/>
                <w:szCs w:val="22"/>
              </w:rPr>
              <w:t>(</w:t>
            </w:r>
            <w:r w:rsidR="002565C6" w:rsidRPr="004577CA">
              <w:rPr>
                <w:b/>
                <w:sz w:val="22"/>
                <w:szCs w:val="22"/>
              </w:rPr>
              <w:t>$1</w:t>
            </w:r>
            <w:r w:rsidR="00C10B10" w:rsidRPr="004577CA">
              <w:rPr>
                <w:b/>
                <w:sz w:val="22"/>
                <w:szCs w:val="22"/>
              </w:rPr>
              <w:t>3</w:t>
            </w:r>
            <w:r w:rsidR="00AB6B9C" w:rsidRPr="004577CA">
              <w:rPr>
                <w:b/>
                <w:sz w:val="22"/>
                <w:szCs w:val="22"/>
              </w:rPr>
              <w:t>3</w:t>
            </w:r>
            <w:r w:rsidR="002565C6" w:rsidRPr="004577CA">
              <w:rPr>
                <w:b/>
                <w:sz w:val="22"/>
                <w:szCs w:val="22"/>
              </w:rPr>
              <w:t>/h</w:t>
            </w:r>
            <w:r w:rsidR="00364795" w:rsidRPr="004577CA">
              <w:rPr>
                <w:b/>
                <w:sz w:val="22"/>
                <w:szCs w:val="22"/>
              </w:rPr>
              <w:t>ou</w:t>
            </w:r>
            <w:r w:rsidR="002565C6" w:rsidRPr="004577CA">
              <w:rPr>
                <w:b/>
                <w:sz w:val="22"/>
                <w:szCs w:val="22"/>
              </w:rPr>
              <w:t>r</w:t>
            </w:r>
            <w:r w:rsidR="00364795" w:rsidRPr="004577C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21E5477D" w14:textId="77777777" w:rsidR="002565C6" w:rsidRPr="000739CF" w:rsidRDefault="009A7BDB" w:rsidP="00AB6B9C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AB6B9C">
              <w:rPr>
                <w:sz w:val="22"/>
                <w:szCs w:val="22"/>
              </w:rPr>
              <w:t>438</w:t>
            </w:r>
          </w:p>
        </w:tc>
        <w:tc>
          <w:tcPr>
            <w:tcW w:w="1440" w:type="dxa"/>
          </w:tcPr>
          <w:p w14:paraId="73F43E87" w14:textId="77777777" w:rsidR="002565C6" w:rsidRPr="000739CF" w:rsidRDefault="00AB6B9C" w:rsidP="00F44F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70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182</w:t>
            </w:r>
          </w:p>
        </w:tc>
        <w:tc>
          <w:tcPr>
            <w:tcW w:w="1440" w:type="dxa"/>
          </w:tcPr>
          <w:p w14:paraId="7C0FC31D" w14:textId="77777777" w:rsidR="002565C6" w:rsidRPr="000739CF" w:rsidRDefault="00AB6B9C" w:rsidP="00F44F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1,330</w:t>
            </w:r>
          </w:p>
        </w:tc>
        <w:tc>
          <w:tcPr>
            <w:tcW w:w="1980" w:type="dxa"/>
          </w:tcPr>
          <w:p w14:paraId="03BD3C54" w14:textId="77777777" w:rsidR="002565C6" w:rsidRPr="000739CF" w:rsidRDefault="00AB6B9C" w:rsidP="00F44F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</w:tr>
      <w:tr w:rsidR="002565C6" w14:paraId="6E811E71" w14:textId="77777777" w:rsidTr="00CE3BDF">
        <w:tc>
          <w:tcPr>
            <w:tcW w:w="3240" w:type="dxa"/>
          </w:tcPr>
          <w:p w14:paraId="1ED8EEC6" w14:textId="77777777" w:rsidR="002565C6" w:rsidRPr="00A907F1" w:rsidRDefault="00F01D1A" w:rsidP="0073069A">
            <w:pPr>
              <w:widowControl/>
              <w:spacing w:before="120"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="002565C6" w:rsidRPr="00A907F1">
              <w:rPr>
                <w:b/>
                <w:sz w:val="22"/>
                <w:szCs w:val="22"/>
              </w:rPr>
              <w:t>Office of Administrative Hearings</w:t>
            </w:r>
          </w:p>
        </w:tc>
        <w:tc>
          <w:tcPr>
            <w:tcW w:w="1440" w:type="dxa"/>
          </w:tcPr>
          <w:p w14:paraId="034CDE40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F6F932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C2B2A2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74BB590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</w:tr>
      <w:tr w:rsidR="002565C6" w14:paraId="4F90C7FB" w14:textId="77777777" w:rsidTr="00CE3BDF">
        <w:tc>
          <w:tcPr>
            <w:tcW w:w="3240" w:type="dxa"/>
          </w:tcPr>
          <w:p w14:paraId="6A79B9AD" w14:textId="77777777" w:rsidR="002565C6" w:rsidRPr="004577CA" w:rsidRDefault="00364795" w:rsidP="00AB6B9C">
            <w:pPr>
              <w:widowControl/>
              <w:spacing w:before="120" w:after="58"/>
              <w:rPr>
                <w:b/>
                <w:sz w:val="22"/>
                <w:szCs w:val="22"/>
              </w:rPr>
            </w:pPr>
            <w:r w:rsidRPr="004577CA">
              <w:rPr>
                <w:b/>
                <w:sz w:val="22"/>
                <w:szCs w:val="22"/>
              </w:rPr>
              <w:t xml:space="preserve">Admin. </w:t>
            </w:r>
            <w:r w:rsidR="004E1F01" w:rsidRPr="004577CA">
              <w:rPr>
                <w:b/>
                <w:sz w:val="22"/>
                <w:szCs w:val="22"/>
              </w:rPr>
              <w:t>L</w:t>
            </w:r>
            <w:r w:rsidR="002565C6" w:rsidRPr="004577CA">
              <w:rPr>
                <w:b/>
                <w:sz w:val="22"/>
                <w:szCs w:val="22"/>
              </w:rPr>
              <w:t xml:space="preserve">aw </w:t>
            </w:r>
            <w:r w:rsidRPr="004577CA">
              <w:rPr>
                <w:b/>
                <w:sz w:val="22"/>
                <w:szCs w:val="22"/>
              </w:rPr>
              <w:t>Judge (</w:t>
            </w:r>
            <w:r w:rsidR="002565C6" w:rsidRPr="004577CA">
              <w:rPr>
                <w:b/>
                <w:sz w:val="22"/>
                <w:szCs w:val="22"/>
              </w:rPr>
              <w:t>$</w:t>
            </w:r>
            <w:r w:rsidR="00AB6B9C" w:rsidRPr="004577CA">
              <w:rPr>
                <w:b/>
                <w:sz w:val="22"/>
                <w:szCs w:val="22"/>
              </w:rPr>
              <w:t>215</w:t>
            </w:r>
            <w:r w:rsidRPr="004577CA">
              <w:rPr>
                <w:b/>
                <w:sz w:val="22"/>
                <w:szCs w:val="22"/>
              </w:rPr>
              <w:t>/</w:t>
            </w:r>
            <w:r w:rsidR="002565C6" w:rsidRPr="004577CA">
              <w:rPr>
                <w:b/>
                <w:sz w:val="22"/>
                <w:szCs w:val="22"/>
              </w:rPr>
              <w:t>h</w:t>
            </w:r>
            <w:r w:rsidRPr="004577CA">
              <w:rPr>
                <w:b/>
                <w:sz w:val="22"/>
                <w:szCs w:val="22"/>
              </w:rPr>
              <w:t>our)</w:t>
            </w:r>
          </w:p>
        </w:tc>
        <w:tc>
          <w:tcPr>
            <w:tcW w:w="1440" w:type="dxa"/>
          </w:tcPr>
          <w:p w14:paraId="5AD51FF3" w14:textId="77777777" w:rsidR="002565C6" w:rsidRPr="000739CF" w:rsidRDefault="00AB6B9C" w:rsidP="00B26D06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29,025</w:t>
            </w:r>
          </w:p>
        </w:tc>
        <w:tc>
          <w:tcPr>
            <w:tcW w:w="1440" w:type="dxa"/>
          </w:tcPr>
          <w:p w14:paraId="3D37A204" w14:textId="77777777" w:rsidR="002565C6" w:rsidRPr="000739CF" w:rsidRDefault="00AB6B9C" w:rsidP="00B26D06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10,750</w:t>
            </w:r>
          </w:p>
        </w:tc>
        <w:tc>
          <w:tcPr>
            <w:tcW w:w="1440" w:type="dxa"/>
          </w:tcPr>
          <w:p w14:paraId="1A4F4D25" w14:textId="77777777" w:rsidR="002565C6" w:rsidRPr="000739CF" w:rsidRDefault="00AB6B9C" w:rsidP="00B26D06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2,150</w:t>
            </w:r>
          </w:p>
        </w:tc>
        <w:tc>
          <w:tcPr>
            <w:tcW w:w="1980" w:type="dxa"/>
          </w:tcPr>
          <w:p w14:paraId="6F4F482D" w14:textId="77777777" w:rsidR="002565C6" w:rsidRPr="000739CF" w:rsidRDefault="00AB6B9C" w:rsidP="00B26D06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</w:tr>
      <w:tr w:rsidR="00AD41B9" w:rsidRPr="00AD41B9" w14:paraId="23B08AEA" w14:textId="77777777" w:rsidTr="00CE3BDF">
        <w:tc>
          <w:tcPr>
            <w:tcW w:w="3240" w:type="dxa"/>
          </w:tcPr>
          <w:p w14:paraId="0054B5BD" w14:textId="77777777" w:rsidR="00AD41B9" w:rsidRPr="000739CF" w:rsidDel="00AD41B9" w:rsidRDefault="00AD41B9" w:rsidP="00AD41B9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Filing Fee</w:t>
            </w:r>
          </w:p>
        </w:tc>
        <w:tc>
          <w:tcPr>
            <w:tcW w:w="1440" w:type="dxa"/>
          </w:tcPr>
          <w:p w14:paraId="4CCCC70F" w14:textId="77777777" w:rsidR="00AD41B9" w:rsidRPr="000739CF" w:rsidDel="00AD41B9" w:rsidRDefault="00AD41B9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14:paraId="66FD7B84" w14:textId="77777777" w:rsidR="00AD41B9" w:rsidRPr="000739CF" w:rsidDel="00AD41B9" w:rsidRDefault="00AD41B9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14:paraId="257862DA" w14:textId="77777777" w:rsidR="00AD41B9" w:rsidRPr="000739CF" w:rsidDel="00AD41B9" w:rsidRDefault="00AD41B9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</w:t>
            </w:r>
          </w:p>
        </w:tc>
        <w:tc>
          <w:tcPr>
            <w:tcW w:w="1980" w:type="dxa"/>
          </w:tcPr>
          <w:p w14:paraId="16750E41" w14:textId="77777777" w:rsidR="00AD41B9" w:rsidRPr="000739CF" w:rsidDel="00AD41B9" w:rsidRDefault="00AD41B9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</w:t>
            </w:r>
          </w:p>
        </w:tc>
      </w:tr>
      <w:tr w:rsidR="002565C6" w14:paraId="1DE8315F" w14:textId="77777777" w:rsidTr="00CE3BDF">
        <w:tc>
          <w:tcPr>
            <w:tcW w:w="3240" w:type="dxa"/>
          </w:tcPr>
          <w:p w14:paraId="46CDE86E" w14:textId="77777777" w:rsidR="002565C6" w:rsidRPr="000739CF" w:rsidRDefault="004673C9" w:rsidP="004673C9">
            <w:pPr>
              <w:widowControl/>
              <w:spacing w:before="120" w:after="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="002565C6" w:rsidRPr="00A907F1">
              <w:rPr>
                <w:b/>
                <w:sz w:val="22"/>
                <w:szCs w:val="22"/>
              </w:rPr>
              <w:t xml:space="preserve">State </w:t>
            </w:r>
            <w:r w:rsidR="002565C6" w:rsidRPr="004673C9">
              <w:rPr>
                <w:b/>
                <w:sz w:val="22"/>
                <w:szCs w:val="22"/>
              </w:rPr>
              <w:t xml:space="preserve">Register </w:t>
            </w:r>
            <w:r w:rsidR="00364795" w:rsidRPr="004673C9">
              <w:rPr>
                <w:b/>
                <w:sz w:val="22"/>
                <w:szCs w:val="22"/>
              </w:rPr>
              <w:t>($1</w:t>
            </w:r>
            <w:r>
              <w:rPr>
                <w:b/>
                <w:sz w:val="22"/>
                <w:szCs w:val="22"/>
              </w:rPr>
              <w:t>35</w:t>
            </w:r>
            <w:r w:rsidR="00364795" w:rsidRPr="004673C9">
              <w:rPr>
                <w:b/>
                <w:sz w:val="22"/>
                <w:szCs w:val="22"/>
              </w:rPr>
              <w:t>/page)</w:t>
            </w:r>
          </w:p>
        </w:tc>
        <w:tc>
          <w:tcPr>
            <w:tcW w:w="1440" w:type="dxa"/>
          </w:tcPr>
          <w:p w14:paraId="645AB15B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2D165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37C14C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FFF3D87" w14:textId="77777777" w:rsidR="002565C6" w:rsidRPr="000739CF" w:rsidRDefault="002565C6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</w:tr>
      <w:tr w:rsidR="005A6F74" w:rsidRPr="00AD41B9" w14:paraId="328863D2" w14:textId="77777777" w:rsidTr="00CE3BDF">
        <w:tc>
          <w:tcPr>
            <w:tcW w:w="3240" w:type="dxa"/>
          </w:tcPr>
          <w:p w14:paraId="6FBACE5E" w14:textId="77777777" w:rsidR="005A6F74" w:rsidRPr="005A6F74" w:rsidDel="00AD41B9" w:rsidRDefault="005A6F74" w:rsidP="005A6F74">
            <w:pPr>
              <w:widowControl/>
              <w:spacing w:before="120" w:after="58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 xml:space="preserve">Request for Comments </w:t>
            </w:r>
          </w:p>
        </w:tc>
        <w:tc>
          <w:tcPr>
            <w:tcW w:w="1440" w:type="dxa"/>
          </w:tcPr>
          <w:p w14:paraId="6C8BE993" w14:textId="446C9881" w:rsidR="005A6F74" w:rsidRPr="000739CF" w:rsidDel="00AD41B9" w:rsidRDefault="00483116" w:rsidP="00483116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14:paraId="4E8CAF4D" w14:textId="152369B4" w:rsidR="005A6F74" w:rsidRPr="000739CF" w:rsidDel="00AD41B9" w:rsidRDefault="00483116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440" w:type="dxa"/>
          </w:tcPr>
          <w:p w14:paraId="062E0367" w14:textId="0A9AD3E5" w:rsidR="005A6F74" w:rsidRPr="000739CF" w:rsidDel="00AD41B9" w:rsidRDefault="00483116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80" w:type="dxa"/>
          </w:tcPr>
          <w:p w14:paraId="2E454582" w14:textId="70BF9FD3" w:rsidR="005A6F74" w:rsidRPr="000739CF" w:rsidDel="00AD41B9" w:rsidRDefault="00483116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5A6F74" w:rsidRPr="00AD41B9" w14:paraId="147C2B25" w14:textId="77777777" w:rsidTr="00CE3BDF">
        <w:tc>
          <w:tcPr>
            <w:tcW w:w="3240" w:type="dxa"/>
          </w:tcPr>
          <w:p w14:paraId="356A2FBA" w14:textId="77777777" w:rsidR="005A6F74" w:rsidRPr="005A6F74" w:rsidDel="00AD41B9" w:rsidRDefault="005A6F74" w:rsidP="005A6F74">
            <w:pPr>
              <w:widowControl/>
              <w:spacing w:before="120" w:after="58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 xml:space="preserve">Notice </w:t>
            </w:r>
            <w:r>
              <w:rPr>
                <w:sz w:val="22"/>
                <w:szCs w:val="22"/>
              </w:rPr>
              <w:t>of Intent to Adopt Rules</w:t>
            </w:r>
            <w:r w:rsidRPr="005A6F7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with </w:t>
            </w:r>
            <w:r w:rsidRPr="005A6F74">
              <w:rPr>
                <w:sz w:val="22"/>
                <w:szCs w:val="22"/>
              </w:rPr>
              <w:t xml:space="preserve">rule </w:t>
            </w:r>
            <w:r>
              <w:rPr>
                <w:sz w:val="22"/>
                <w:szCs w:val="22"/>
              </w:rPr>
              <w:t xml:space="preserve">text </w:t>
            </w:r>
            <w:r w:rsidRPr="005A6F74">
              <w:rPr>
                <w:sz w:val="22"/>
                <w:szCs w:val="22"/>
              </w:rPr>
              <w:t>published</w:t>
            </w:r>
            <w:r>
              <w:rPr>
                <w:sz w:val="22"/>
                <w:szCs w:val="22"/>
              </w:rPr>
              <w:t>)</w:t>
            </w:r>
            <w:r w:rsidRPr="005A6F74">
              <w:rPr>
                <w:rStyle w:val="CommentReference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5B5D480" w14:textId="0263653B" w:rsidR="005A6F74" w:rsidRPr="000739CF" w:rsidDel="00AD41B9" w:rsidRDefault="00483116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7,560</w:t>
            </w:r>
          </w:p>
        </w:tc>
        <w:tc>
          <w:tcPr>
            <w:tcW w:w="1440" w:type="dxa"/>
          </w:tcPr>
          <w:p w14:paraId="6BA61BD9" w14:textId="3A2F3A69" w:rsidR="005A6F74" w:rsidRPr="000739CF" w:rsidDel="00AD41B9" w:rsidRDefault="00483116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3,375</w:t>
            </w:r>
          </w:p>
        </w:tc>
        <w:tc>
          <w:tcPr>
            <w:tcW w:w="1440" w:type="dxa"/>
          </w:tcPr>
          <w:p w14:paraId="5E873C81" w14:textId="40E0ADE8" w:rsidR="005A6F74" w:rsidRPr="000739CF" w:rsidDel="00AD41B9" w:rsidRDefault="005A6F74" w:rsidP="00483116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1,</w:t>
            </w:r>
            <w:r w:rsidR="00483116">
              <w:rPr>
                <w:sz w:val="22"/>
                <w:szCs w:val="22"/>
              </w:rPr>
              <w:t>350</w:t>
            </w:r>
          </w:p>
        </w:tc>
        <w:tc>
          <w:tcPr>
            <w:tcW w:w="1980" w:type="dxa"/>
          </w:tcPr>
          <w:p w14:paraId="052917A1" w14:textId="067C6D02" w:rsidR="005A6F74" w:rsidRPr="000739CF" w:rsidDel="00AD41B9" w:rsidRDefault="00483116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</w:tr>
      <w:tr w:rsidR="005A6F74" w:rsidRPr="00AD41B9" w14:paraId="3C2C10CA" w14:textId="77777777" w:rsidTr="00CE3BDF">
        <w:tc>
          <w:tcPr>
            <w:tcW w:w="3240" w:type="dxa"/>
          </w:tcPr>
          <w:p w14:paraId="7A8FF1FF" w14:textId="77777777" w:rsidR="005A6F74" w:rsidRPr="005A6F74" w:rsidDel="00AD41B9" w:rsidRDefault="005A6F74" w:rsidP="005A6F74">
            <w:pPr>
              <w:widowControl/>
              <w:spacing w:before="120" w:after="58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Notice of Adoption (</w:t>
            </w:r>
            <w:r>
              <w:rPr>
                <w:sz w:val="22"/>
                <w:szCs w:val="22"/>
              </w:rPr>
              <w:t xml:space="preserve">without </w:t>
            </w:r>
            <w:r w:rsidRPr="005A6F74">
              <w:rPr>
                <w:sz w:val="22"/>
                <w:szCs w:val="22"/>
              </w:rPr>
              <w:t xml:space="preserve">rule </w:t>
            </w:r>
            <w:r>
              <w:rPr>
                <w:sz w:val="22"/>
                <w:szCs w:val="22"/>
              </w:rPr>
              <w:t>text</w:t>
            </w:r>
            <w:r w:rsidRPr="005A6F74">
              <w:rPr>
                <w:sz w:val="22"/>
                <w:szCs w:val="22"/>
              </w:rPr>
              <w:t xml:space="preserve"> published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7F43AF61" w14:textId="77777777" w:rsidR="005A6F74" w:rsidRPr="000739CF" w:rsidDel="00AD41B9" w:rsidRDefault="005A6F74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14:paraId="62AC243B" w14:textId="77777777" w:rsidR="005A6F74" w:rsidRPr="000739CF" w:rsidDel="00AD41B9" w:rsidRDefault="005A6F74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14:paraId="00F6DF5A" w14:textId="77777777" w:rsidR="005A6F74" w:rsidRPr="000739CF" w:rsidDel="00AD41B9" w:rsidRDefault="005A6F74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19E33319" w14:textId="77777777" w:rsidR="005A6F74" w:rsidRPr="000739CF" w:rsidDel="00AD41B9" w:rsidRDefault="005A6F74" w:rsidP="00AD41B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20</w:t>
            </w:r>
          </w:p>
        </w:tc>
      </w:tr>
      <w:tr w:rsidR="009A465A" w14:paraId="728607D3" w14:textId="77777777" w:rsidTr="00CE3BDF">
        <w:tc>
          <w:tcPr>
            <w:tcW w:w="3240" w:type="dxa"/>
          </w:tcPr>
          <w:p w14:paraId="018CD809" w14:textId="77777777" w:rsidR="009A465A" w:rsidRPr="00A907F1" w:rsidRDefault="009A465A" w:rsidP="0073069A">
            <w:pPr>
              <w:widowControl/>
              <w:spacing w:before="120" w:after="58"/>
              <w:rPr>
                <w:b/>
                <w:sz w:val="22"/>
                <w:szCs w:val="22"/>
              </w:rPr>
            </w:pPr>
            <w:r w:rsidRPr="00A907F1">
              <w:rPr>
                <w:b/>
                <w:sz w:val="22"/>
                <w:szCs w:val="22"/>
              </w:rPr>
              <w:t>Miscellaneous</w:t>
            </w:r>
          </w:p>
        </w:tc>
        <w:tc>
          <w:tcPr>
            <w:tcW w:w="1440" w:type="dxa"/>
          </w:tcPr>
          <w:p w14:paraId="1348875F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07E0088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E74F83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E23E8A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</w:tr>
      <w:tr w:rsidR="009A465A" w14:paraId="07FF08C5" w14:textId="77777777" w:rsidTr="00CE3BDF">
        <w:tc>
          <w:tcPr>
            <w:tcW w:w="3240" w:type="dxa"/>
          </w:tcPr>
          <w:p w14:paraId="1AE725BC" w14:textId="77777777" w:rsidR="009A465A" w:rsidRPr="000739CF" w:rsidRDefault="009A465A" w:rsidP="0073069A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Mailings</w:t>
            </w:r>
          </w:p>
        </w:tc>
        <w:tc>
          <w:tcPr>
            <w:tcW w:w="1440" w:type="dxa"/>
          </w:tcPr>
          <w:p w14:paraId="309F6F58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925</w:t>
            </w:r>
          </w:p>
        </w:tc>
        <w:tc>
          <w:tcPr>
            <w:tcW w:w="1440" w:type="dxa"/>
          </w:tcPr>
          <w:p w14:paraId="6F7F58D6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694</w:t>
            </w:r>
          </w:p>
        </w:tc>
        <w:tc>
          <w:tcPr>
            <w:tcW w:w="1440" w:type="dxa"/>
          </w:tcPr>
          <w:p w14:paraId="037FE9BB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370</w:t>
            </w:r>
          </w:p>
        </w:tc>
        <w:tc>
          <w:tcPr>
            <w:tcW w:w="1980" w:type="dxa"/>
          </w:tcPr>
          <w:p w14:paraId="5D365245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333</w:t>
            </w:r>
          </w:p>
        </w:tc>
      </w:tr>
      <w:tr w:rsidR="009A465A" w14:paraId="4C1CE57A" w14:textId="77777777" w:rsidTr="00CE3BDF">
        <w:tc>
          <w:tcPr>
            <w:tcW w:w="3240" w:type="dxa"/>
          </w:tcPr>
          <w:p w14:paraId="5E003007" w14:textId="77777777" w:rsidR="009A465A" w:rsidRPr="000739CF" w:rsidRDefault="009A465A" w:rsidP="0073069A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Duplicating</w:t>
            </w:r>
          </w:p>
        </w:tc>
        <w:tc>
          <w:tcPr>
            <w:tcW w:w="1440" w:type="dxa"/>
          </w:tcPr>
          <w:p w14:paraId="483F5ACD" w14:textId="77777777" w:rsidR="009A465A" w:rsidRPr="000739CF" w:rsidRDefault="009A465A" w:rsidP="0052075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1,500</w:t>
            </w:r>
          </w:p>
        </w:tc>
        <w:tc>
          <w:tcPr>
            <w:tcW w:w="1440" w:type="dxa"/>
          </w:tcPr>
          <w:p w14:paraId="418B57A5" w14:textId="77777777" w:rsidR="009A465A" w:rsidRPr="000739CF" w:rsidRDefault="009A465A" w:rsidP="0052075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825</w:t>
            </w:r>
          </w:p>
        </w:tc>
        <w:tc>
          <w:tcPr>
            <w:tcW w:w="1440" w:type="dxa"/>
          </w:tcPr>
          <w:p w14:paraId="19AE215F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500</w:t>
            </w:r>
          </w:p>
        </w:tc>
        <w:tc>
          <w:tcPr>
            <w:tcW w:w="1980" w:type="dxa"/>
          </w:tcPr>
          <w:p w14:paraId="4842F77A" w14:textId="77777777" w:rsidR="009A465A" w:rsidRPr="000739CF" w:rsidRDefault="009A465A" w:rsidP="00520759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250</w:t>
            </w:r>
          </w:p>
        </w:tc>
      </w:tr>
      <w:tr w:rsidR="009A465A" w14:paraId="7EA25965" w14:textId="77777777" w:rsidTr="00CE3BDF">
        <w:tc>
          <w:tcPr>
            <w:tcW w:w="3240" w:type="dxa"/>
          </w:tcPr>
          <w:p w14:paraId="0B9C5137" w14:textId="77777777" w:rsidR="009A465A" w:rsidRPr="000739CF" w:rsidRDefault="009A465A" w:rsidP="0073069A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Transcripts</w:t>
            </w:r>
          </w:p>
        </w:tc>
        <w:tc>
          <w:tcPr>
            <w:tcW w:w="1440" w:type="dxa"/>
          </w:tcPr>
          <w:p w14:paraId="06E460EF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1,000</w:t>
            </w:r>
          </w:p>
        </w:tc>
        <w:tc>
          <w:tcPr>
            <w:tcW w:w="1440" w:type="dxa"/>
          </w:tcPr>
          <w:p w14:paraId="02675BE9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750</w:t>
            </w:r>
          </w:p>
        </w:tc>
        <w:tc>
          <w:tcPr>
            <w:tcW w:w="1440" w:type="dxa"/>
          </w:tcPr>
          <w:p w14:paraId="523DBE21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500</w:t>
            </w:r>
          </w:p>
        </w:tc>
        <w:tc>
          <w:tcPr>
            <w:tcW w:w="1980" w:type="dxa"/>
          </w:tcPr>
          <w:p w14:paraId="25B3D295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</w:tr>
      <w:tr w:rsidR="009A465A" w14:paraId="63348F0D" w14:textId="77777777" w:rsidTr="00CE3BDF">
        <w:tc>
          <w:tcPr>
            <w:tcW w:w="3240" w:type="dxa"/>
          </w:tcPr>
          <w:p w14:paraId="354C6B88" w14:textId="77777777" w:rsidR="009A465A" w:rsidRPr="000739CF" w:rsidRDefault="009A465A" w:rsidP="0073069A">
            <w:pPr>
              <w:widowControl/>
              <w:spacing w:before="120" w:after="58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Committee costs, outstate meetings</w:t>
            </w:r>
          </w:p>
        </w:tc>
        <w:tc>
          <w:tcPr>
            <w:tcW w:w="1440" w:type="dxa"/>
          </w:tcPr>
          <w:p w14:paraId="4FC6135A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14:paraId="7CE14074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  <w:r w:rsidRPr="000739CF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14:paraId="68729D65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00D2441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</w:tr>
      <w:tr w:rsidR="009A465A" w14:paraId="796A2C70" w14:textId="77777777" w:rsidTr="00CE3BDF">
        <w:tc>
          <w:tcPr>
            <w:tcW w:w="3240" w:type="dxa"/>
          </w:tcPr>
          <w:p w14:paraId="7260E3D3" w14:textId="77777777" w:rsidR="009A465A" w:rsidRPr="000739CF" w:rsidRDefault="009A465A" w:rsidP="0073069A">
            <w:pPr>
              <w:widowControl/>
              <w:spacing w:before="120" w:after="5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110A65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C8782B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7B6DB4C" w14:textId="77777777" w:rsidR="009A465A" w:rsidRPr="000739CF" w:rsidRDefault="009A465A" w:rsidP="0073069A">
            <w:pPr>
              <w:widowControl/>
              <w:spacing w:before="120" w:after="58"/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D07A5A4" w14:textId="77777777" w:rsidR="009A465A" w:rsidRPr="000739CF" w:rsidRDefault="009A465A" w:rsidP="00DC642F">
            <w:pPr>
              <w:widowControl/>
              <w:spacing w:before="120" w:after="58"/>
              <w:jc w:val="center"/>
              <w:rPr>
                <w:sz w:val="22"/>
                <w:szCs w:val="22"/>
              </w:rPr>
            </w:pPr>
          </w:p>
        </w:tc>
      </w:tr>
      <w:tr w:rsidR="00C44BE4" w14:paraId="2060B13F" w14:textId="77777777" w:rsidTr="00CE3BDF">
        <w:trPr>
          <w:trHeight w:val="341"/>
        </w:trPr>
        <w:tc>
          <w:tcPr>
            <w:tcW w:w="3240" w:type="dxa"/>
          </w:tcPr>
          <w:p w14:paraId="7937B6CD" w14:textId="77777777" w:rsidR="00C44BE4" w:rsidRPr="000739CF" w:rsidRDefault="00C44BE4" w:rsidP="00552E00">
            <w:pPr>
              <w:widowControl/>
              <w:spacing w:before="120"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Estimated Costs</w:t>
            </w:r>
          </w:p>
        </w:tc>
        <w:tc>
          <w:tcPr>
            <w:tcW w:w="1440" w:type="dxa"/>
          </w:tcPr>
          <w:p w14:paraId="696CC8E3" w14:textId="257F1FFA" w:rsidR="00C44BE4" w:rsidRPr="00C44BE4" w:rsidRDefault="00C44BE4" w:rsidP="00483116">
            <w:pPr>
              <w:widowControl/>
              <w:spacing w:before="120" w:after="58"/>
              <w:jc w:val="right"/>
              <w:rPr>
                <w:rFonts w:ascii="Cambria Math" w:hAnsi="Cambria Math"/>
                <w:sz w:val="22"/>
                <w:szCs w:val="22"/>
                <w:oMath/>
              </w:rPr>
            </w:pPr>
            <w:r w:rsidRPr="00C44BE4">
              <w:rPr>
                <w:b/>
                <w:sz w:val="22"/>
                <w:szCs w:val="22"/>
              </w:rPr>
              <w:t>$</w:t>
            </w:r>
            <w:r w:rsidR="00483116">
              <w:rPr>
                <w:b/>
                <w:sz w:val="22"/>
                <w:szCs w:val="22"/>
              </w:rPr>
              <w:t>310</w:t>
            </w:r>
            <w:r w:rsidR="00927062">
              <w:rPr>
                <w:b/>
                <w:sz w:val="22"/>
                <w:szCs w:val="22"/>
              </w:rPr>
              <w:t>,</w:t>
            </w:r>
            <w:r w:rsidR="00483116">
              <w:rPr>
                <w:b/>
                <w:sz w:val="22"/>
                <w:szCs w:val="22"/>
              </w:rPr>
              <w:t>248</w:t>
            </w:r>
          </w:p>
        </w:tc>
        <w:tc>
          <w:tcPr>
            <w:tcW w:w="1440" w:type="dxa"/>
          </w:tcPr>
          <w:p w14:paraId="0D639465" w14:textId="18FA7BFC" w:rsidR="00C44BE4" w:rsidRPr="00C44BE4" w:rsidRDefault="00C44BE4" w:rsidP="00483116">
            <w:pPr>
              <w:widowControl/>
              <w:spacing w:before="120" w:after="58"/>
              <w:jc w:val="right"/>
              <w:rPr>
                <w:rFonts w:ascii="Cambria Math" w:hAnsi="Cambria Math"/>
                <w:sz w:val="22"/>
                <w:szCs w:val="22"/>
                <w:oMath/>
              </w:rPr>
            </w:pPr>
            <w:r w:rsidRPr="00C44BE4">
              <w:rPr>
                <w:b/>
                <w:sz w:val="22"/>
                <w:szCs w:val="22"/>
              </w:rPr>
              <w:t>$</w:t>
            </w:r>
            <w:r w:rsidR="00483116">
              <w:rPr>
                <w:b/>
                <w:sz w:val="22"/>
                <w:szCs w:val="22"/>
              </w:rPr>
              <w:t>133,376</w:t>
            </w:r>
          </w:p>
        </w:tc>
        <w:tc>
          <w:tcPr>
            <w:tcW w:w="1440" w:type="dxa"/>
          </w:tcPr>
          <w:p w14:paraId="404097B2" w14:textId="5C7334EF" w:rsidR="00C44BE4" w:rsidRPr="00C44BE4" w:rsidRDefault="00C44BE4" w:rsidP="00483116">
            <w:pPr>
              <w:widowControl/>
              <w:spacing w:before="120" w:after="58"/>
              <w:jc w:val="right"/>
              <w:rPr>
                <w:rFonts w:ascii="Cambria Math" w:hAnsi="Cambria Math"/>
                <w:sz w:val="22"/>
                <w:szCs w:val="22"/>
                <w:oMath/>
              </w:rPr>
            </w:pPr>
            <w:r w:rsidRPr="00C44BE4">
              <w:rPr>
                <w:b/>
                <w:sz w:val="22"/>
                <w:szCs w:val="22"/>
              </w:rPr>
              <w:t>$</w:t>
            </w:r>
            <w:r w:rsidR="00483116">
              <w:rPr>
                <w:b/>
                <w:sz w:val="22"/>
                <w:szCs w:val="22"/>
              </w:rPr>
              <w:t>46,305</w:t>
            </w:r>
          </w:p>
        </w:tc>
        <w:tc>
          <w:tcPr>
            <w:tcW w:w="1980" w:type="dxa"/>
          </w:tcPr>
          <w:p w14:paraId="09085990" w14:textId="4AC28C1E" w:rsidR="00C44BE4" w:rsidRPr="00C44BE4" w:rsidRDefault="00C44BE4" w:rsidP="00483116">
            <w:pPr>
              <w:widowControl/>
              <w:spacing w:before="120" w:after="58"/>
              <w:jc w:val="right"/>
              <w:rPr>
                <w:rFonts w:ascii="Cambria Math" w:hAnsi="Cambria Math"/>
                <w:sz w:val="22"/>
                <w:szCs w:val="22"/>
                <w:oMath/>
              </w:rPr>
            </w:pPr>
            <w:r w:rsidRPr="00C44BE4">
              <w:rPr>
                <w:b/>
                <w:sz w:val="22"/>
                <w:szCs w:val="22"/>
              </w:rPr>
              <w:t>$</w:t>
            </w:r>
            <w:r w:rsidR="00927062">
              <w:rPr>
                <w:b/>
                <w:sz w:val="22"/>
                <w:szCs w:val="22"/>
              </w:rPr>
              <w:t>10,</w:t>
            </w:r>
            <w:r w:rsidR="00483116">
              <w:rPr>
                <w:b/>
                <w:sz w:val="22"/>
                <w:szCs w:val="22"/>
              </w:rPr>
              <w:t>816</w:t>
            </w:r>
          </w:p>
        </w:tc>
      </w:tr>
    </w:tbl>
    <w:p w14:paraId="387C7FC0" w14:textId="77777777" w:rsidR="002565C6" w:rsidRDefault="002565C6">
      <w:pPr>
        <w:widowControl/>
      </w:pPr>
    </w:p>
    <w:p w14:paraId="1B3DB5A1" w14:textId="77777777" w:rsidR="002565C6" w:rsidRPr="004577CA" w:rsidRDefault="002565C6">
      <w:pPr>
        <w:widowControl/>
        <w:rPr>
          <w:sz w:val="22"/>
          <w:szCs w:val="22"/>
        </w:rPr>
      </w:pPr>
      <w:r>
        <w:t>*</w:t>
      </w:r>
      <w:r w:rsidRPr="004577CA">
        <w:rPr>
          <w:b/>
          <w:sz w:val="22"/>
          <w:szCs w:val="22"/>
        </w:rPr>
        <w:t xml:space="preserve">THESE ROUGH ESTIMATES </w:t>
      </w:r>
      <w:r w:rsidR="004577CA">
        <w:rPr>
          <w:b/>
          <w:sz w:val="22"/>
          <w:szCs w:val="22"/>
        </w:rPr>
        <w:t>ARE ILLUSTRATIONS</w:t>
      </w:r>
      <w:r w:rsidR="00320699">
        <w:rPr>
          <w:b/>
          <w:sz w:val="22"/>
          <w:szCs w:val="22"/>
        </w:rPr>
        <w:t>—</w:t>
      </w:r>
      <w:r w:rsidR="00D214B4" w:rsidRPr="004577CA">
        <w:rPr>
          <w:b/>
          <w:sz w:val="22"/>
          <w:szCs w:val="22"/>
        </w:rPr>
        <w:t>A FRAMEWORK FOR BEGINNING AGENCY ANALYSIS</w:t>
      </w:r>
      <w:r w:rsidR="004577CA">
        <w:rPr>
          <w:b/>
          <w:sz w:val="22"/>
          <w:szCs w:val="22"/>
        </w:rPr>
        <w:t xml:space="preserve">. THEY DO </w:t>
      </w:r>
      <w:r w:rsidR="004577CA" w:rsidRPr="00747835">
        <w:rPr>
          <w:b/>
          <w:sz w:val="22"/>
          <w:szCs w:val="22"/>
          <w:u w:val="single"/>
        </w:rPr>
        <w:t>NOT</w:t>
      </w:r>
      <w:r w:rsidR="004577CA">
        <w:rPr>
          <w:b/>
          <w:sz w:val="22"/>
          <w:szCs w:val="22"/>
        </w:rPr>
        <w:t xml:space="preserve"> REFLECT ACTUAL COSTS</w:t>
      </w:r>
      <w:r w:rsidR="00320699">
        <w:rPr>
          <w:b/>
          <w:sz w:val="22"/>
          <w:szCs w:val="22"/>
        </w:rPr>
        <w:t xml:space="preserve">. </w:t>
      </w:r>
      <w:r w:rsidR="00D214B4" w:rsidRPr="004577CA">
        <w:rPr>
          <w:b/>
          <w:sz w:val="22"/>
          <w:szCs w:val="22"/>
        </w:rPr>
        <w:t xml:space="preserve">RULEMAKING AND AGENCY </w:t>
      </w:r>
      <w:r w:rsidRPr="004577CA">
        <w:rPr>
          <w:b/>
          <w:sz w:val="22"/>
          <w:szCs w:val="22"/>
        </w:rPr>
        <w:t>STAFF CAN PROJECT COSTS MORE CLOSELY AS RULEMAKING BEGINS</w:t>
      </w:r>
      <w:r w:rsidR="00D214B4" w:rsidRPr="004577CA">
        <w:rPr>
          <w:b/>
          <w:sz w:val="22"/>
          <w:szCs w:val="22"/>
        </w:rPr>
        <w:t xml:space="preserve"> (SEE COMMENTS BELOW)</w:t>
      </w:r>
      <w:r w:rsidR="004577CA">
        <w:rPr>
          <w:b/>
          <w:sz w:val="22"/>
          <w:szCs w:val="22"/>
        </w:rPr>
        <w:t>.</w:t>
      </w:r>
      <w:bookmarkStart w:id="0" w:name="_GoBack"/>
      <w:bookmarkEnd w:id="0"/>
    </w:p>
    <w:p w14:paraId="296DA2E7" w14:textId="77777777" w:rsidR="00CB27C3" w:rsidRPr="00F144F5" w:rsidRDefault="00AC6B9E" w:rsidP="00CB27C3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lastRenderedPageBreak/>
        <w:t xml:space="preserve">For simplicity, the </w:t>
      </w:r>
      <w:r w:rsidR="00E01F3E" w:rsidRPr="00F144F5">
        <w:rPr>
          <w:sz w:val="22"/>
          <w:szCs w:val="22"/>
        </w:rPr>
        <w:t xml:space="preserve">cost </w:t>
      </w:r>
      <w:r w:rsidRPr="00F144F5">
        <w:rPr>
          <w:sz w:val="22"/>
          <w:szCs w:val="22"/>
        </w:rPr>
        <w:t xml:space="preserve">chart above and description below use the terms “major rule,” “medium rule,” “small rule,” and “procedural rule.” As anyone with any length of rulemaking experience knows, the landscape </w:t>
      </w:r>
      <w:r w:rsidR="00E01F3E" w:rsidRPr="00F144F5">
        <w:rPr>
          <w:sz w:val="22"/>
          <w:szCs w:val="22"/>
        </w:rPr>
        <w:t xml:space="preserve">includes many facets that defy such straightforward categories. </w:t>
      </w:r>
      <w:r w:rsidR="00CB27C3" w:rsidRPr="00F144F5">
        <w:rPr>
          <w:sz w:val="22"/>
          <w:szCs w:val="22"/>
        </w:rPr>
        <w:t>The material in this appendix is designed to give you some rules of thumb to help you predict the costs unique to your agency and project. The following list suggest</w:t>
      </w:r>
      <w:r w:rsidR="003215D9" w:rsidRPr="00F144F5">
        <w:rPr>
          <w:sz w:val="22"/>
          <w:szCs w:val="22"/>
        </w:rPr>
        <w:t>s</w:t>
      </w:r>
      <w:r w:rsidR="00CB27C3" w:rsidRPr="00F144F5">
        <w:rPr>
          <w:sz w:val="22"/>
          <w:szCs w:val="22"/>
        </w:rPr>
        <w:t xml:space="preserve"> other factors to consider in your characterization and is by no means exhaustive:</w:t>
      </w:r>
    </w:p>
    <w:p w14:paraId="6E0F4158" w14:textId="77777777" w:rsidR="00CB27C3" w:rsidRPr="00F144F5" w:rsidRDefault="00CB27C3" w:rsidP="00CB27C3">
      <w:pPr>
        <w:widowControl/>
        <w:rPr>
          <w:sz w:val="22"/>
          <w:szCs w:val="22"/>
        </w:rPr>
      </w:pPr>
    </w:p>
    <w:p w14:paraId="5A4ACD78" w14:textId="77777777" w:rsidR="00C44BE4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complexity of the record</w:t>
      </w:r>
    </w:p>
    <w:p w14:paraId="02B96238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number of exhibits that support the rule</w:t>
      </w:r>
    </w:p>
    <w:p w14:paraId="1CF9A7DB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volume of the exhibits</w:t>
      </w:r>
    </w:p>
    <w:p w14:paraId="30A9482A" w14:textId="77777777" w:rsidR="00C7545E" w:rsidRPr="00F144F5" w:rsidRDefault="00C7545E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number of controversies that must be resolved</w:t>
      </w:r>
    </w:p>
    <w:p w14:paraId="6942484D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level of controversy</w:t>
      </w:r>
    </w:p>
    <w:p w14:paraId="2EDC9208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technical nature of the subject matter</w:t>
      </w:r>
    </w:p>
    <w:p w14:paraId="5EDB1180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technical complexity of the rules</w:t>
      </w:r>
    </w:p>
    <w:p w14:paraId="153B381D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number of speakers at the hearing</w:t>
      </w:r>
    </w:p>
    <w:p w14:paraId="1BE4777F" w14:textId="77777777" w:rsidR="00CB27C3" w:rsidRPr="00F144F5" w:rsidRDefault="00CB27C3" w:rsidP="00CB27C3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F144F5">
        <w:rPr>
          <w:sz w:val="22"/>
          <w:szCs w:val="22"/>
        </w:rPr>
        <w:t>the diversity and uniqueness of the subjects presented in the comments</w:t>
      </w:r>
    </w:p>
    <w:p w14:paraId="26C8F724" w14:textId="77777777" w:rsidR="00AC6B9E" w:rsidRPr="00F144F5" w:rsidRDefault="00AC6B9E" w:rsidP="00C44BE4">
      <w:pPr>
        <w:widowControl/>
        <w:rPr>
          <w:sz w:val="22"/>
          <w:szCs w:val="22"/>
        </w:rPr>
      </w:pPr>
    </w:p>
    <w:p w14:paraId="06BDD5CE" w14:textId="77777777" w:rsidR="00AC6B9E" w:rsidRPr="00F144F5" w:rsidRDefault="00C7545E" w:rsidP="00C44BE4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 xml:space="preserve">You could certainly come up with more. But simply put, you will need to do your own analysis of whether there are factors that elevate your relatively short rule into a higher category due to the commensurate costs involved or reduce the expense of what might otherwise look like a long one. Are there factors that this chart does not contemplate? </w:t>
      </w:r>
    </w:p>
    <w:p w14:paraId="3BBFFC61" w14:textId="77777777" w:rsidR="00AC6B9E" w:rsidRPr="00F144F5" w:rsidRDefault="00AC6B9E" w:rsidP="00C44BE4">
      <w:pPr>
        <w:widowControl/>
        <w:rPr>
          <w:sz w:val="22"/>
          <w:szCs w:val="22"/>
        </w:rPr>
      </w:pPr>
    </w:p>
    <w:p w14:paraId="4F41E616" w14:textId="77777777" w:rsidR="00C44BE4" w:rsidRPr="00F144F5" w:rsidRDefault="00C44BE4" w:rsidP="00C44BE4">
      <w:pPr>
        <w:widowControl/>
        <w:rPr>
          <w:i/>
          <w:sz w:val="22"/>
          <w:szCs w:val="22"/>
        </w:rPr>
      </w:pPr>
      <w:r w:rsidRPr="00F144F5">
        <w:rPr>
          <w:i/>
          <w:sz w:val="22"/>
          <w:szCs w:val="22"/>
        </w:rPr>
        <w:t>Major rule</w:t>
      </w:r>
    </w:p>
    <w:p w14:paraId="2E24B375" w14:textId="77777777" w:rsidR="002565C6" w:rsidRPr="00F144F5" w:rsidRDefault="002565C6">
      <w:pPr>
        <w:widowControl/>
        <w:rPr>
          <w:sz w:val="22"/>
          <w:szCs w:val="22"/>
        </w:rPr>
      </w:pPr>
    </w:p>
    <w:p w14:paraId="510564B2" w14:textId="77777777" w:rsidR="002565C6" w:rsidRPr="00F144F5" w:rsidRDefault="002565C6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 xml:space="preserve">Extensive revision or start-from-scratch development of </w:t>
      </w:r>
      <w:r w:rsidRPr="00F144F5">
        <w:rPr>
          <w:i/>
          <w:iCs/>
          <w:sz w:val="22"/>
          <w:szCs w:val="22"/>
        </w:rPr>
        <w:t>long</w:t>
      </w:r>
      <w:r w:rsidRPr="00F144F5">
        <w:rPr>
          <w:sz w:val="22"/>
          <w:szCs w:val="22"/>
        </w:rPr>
        <w:t xml:space="preserve"> (more than 50 pages of text), </w:t>
      </w:r>
      <w:r w:rsidRPr="00F144F5">
        <w:rPr>
          <w:i/>
          <w:iCs/>
          <w:sz w:val="22"/>
          <w:szCs w:val="22"/>
        </w:rPr>
        <w:t>controversial</w:t>
      </w:r>
      <w:r w:rsidRPr="00F144F5">
        <w:rPr>
          <w:sz w:val="22"/>
          <w:szCs w:val="22"/>
        </w:rPr>
        <w:t xml:space="preserve"> (will almost certa</w:t>
      </w:r>
      <w:r w:rsidR="009503C4" w:rsidRPr="00F144F5">
        <w:rPr>
          <w:sz w:val="22"/>
          <w:szCs w:val="22"/>
        </w:rPr>
        <w:t xml:space="preserve">inly go to public hearing) rule. </w:t>
      </w:r>
      <w:r w:rsidRPr="00F144F5">
        <w:rPr>
          <w:sz w:val="22"/>
          <w:szCs w:val="22"/>
        </w:rPr>
        <w:t>Typically requires many meetings with public advisory committee.</w:t>
      </w:r>
    </w:p>
    <w:p w14:paraId="56F4EEA8" w14:textId="77777777" w:rsidR="002565C6" w:rsidRPr="00F144F5" w:rsidRDefault="002565C6">
      <w:pPr>
        <w:widowControl/>
        <w:rPr>
          <w:sz w:val="22"/>
          <w:szCs w:val="22"/>
        </w:rPr>
      </w:pPr>
    </w:p>
    <w:p w14:paraId="0D7495C0" w14:textId="77777777" w:rsidR="002565C6" w:rsidRPr="00F144F5" w:rsidRDefault="005A6F74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 xml:space="preserve">The estimated costs relating to the Office of Administrative Hearings presumes that there will be a hearing (possibly more than one), a filing fee, ALJ preparation time, telephone conferences or consultations, and ALJ review time. </w:t>
      </w:r>
      <w:r w:rsidR="006B1831" w:rsidRPr="00F144F5">
        <w:rPr>
          <w:sz w:val="22"/>
          <w:szCs w:val="22"/>
        </w:rPr>
        <w:t xml:space="preserve">To </w:t>
      </w:r>
      <w:r w:rsidRPr="00F144F5">
        <w:rPr>
          <w:sz w:val="22"/>
          <w:szCs w:val="22"/>
        </w:rPr>
        <w:t xml:space="preserve">establish estimated costs for each rulemaking, the agency </w:t>
      </w:r>
      <w:r w:rsidR="006B1831" w:rsidRPr="00F144F5">
        <w:rPr>
          <w:sz w:val="22"/>
          <w:szCs w:val="22"/>
        </w:rPr>
        <w:t xml:space="preserve">might </w:t>
      </w:r>
      <w:r w:rsidRPr="00F144F5">
        <w:rPr>
          <w:sz w:val="22"/>
          <w:szCs w:val="22"/>
        </w:rPr>
        <w:t>find it helpful to review the costs of its previous rulemaking</w:t>
      </w:r>
      <w:r w:rsidR="006B1831" w:rsidRPr="00F144F5">
        <w:rPr>
          <w:sz w:val="22"/>
          <w:szCs w:val="22"/>
        </w:rPr>
        <w:t xml:space="preserve"> project</w:t>
      </w:r>
      <w:r w:rsidRPr="00F144F5">
        <w:rPr>
          <w:sz w:val="22"/>
          <w:szCs w:val="22"/>
        </w:rPr>
        <w:t>s and its current fixed costs (such as the hourly rates for AG legal fees and the ALJ).</w:t>
      </w:r>
    </w:p>
    <w:p w14:paraId="4CA19DBF" w14:textId="77777777" w:rsidR="002565C6" w:rsidRPr="00F144F5" w:rsidRDefault="002565C6">
      <w:pPr>
        <w:widowControl/>
        <w:rPr>
          <w:sz w:val="22"/>
          <w:szCs w:val="22"/>
        </w:rPr>
      </w:pPr>
    </w:p>
    <w:p w14:paraId="6F2D8EA9" w14:textId="77777777" w:rsidR="002565C6" w:rsidRPr="00F144F5" w:rsidRDefault="002565C6">
      <w:pPr>
        <w:widowControl/>
        <w:rPr>
          <w:i/>
          <w:sz w:val="22"/>
          <w:szCs w:val="22"/>
        </w:rPr>
      </w:pPr>
      <w:r w:rsidRPr="00F144F5">
        <w:rPr>
          <w:i/>
          <w:sz w:val="22"/>
          <w:szCs w:val="22"/>
        </w:rPr>
        <w:t>Medium rule</w:t>
      </w:r>
    </w:p>
    <w:p w14:paraId="41C6E746" w14:textId="77777777" w:rsidR="002565C6" w:rsidRPr="00F144F5" w:rsidRDefault="002565C6">
      <w:pPr>
        <w:widowControl/>
        <w:rPr>
          <w:sz w:val="22"/>
          <w:szCs w:val="22"/>
        </w:rPr>
      </w:pPr>
    </w:p>
    <w:p w14:paraId="06A34844" w14:textId="77777777" w:rsidR="002565C6" w:rsidRPr="00F144F5" w:rsidRDefault="002565C6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>Extensive revision or start-from-scratch development of rule between 15 and 49 pages of text</w:t>
      </w:r>
      <w:r w:rsidR="006B1831" w:rsidRPr="00F144F5">
        <w:rPr>
          <w:sz w:val="22"/>
          <w:szCs w:val="22"/>
        </w:rPr>
        <w:t>,</w:t>
      </w:r>
      <w:r w:rsidRPr="00F144F5">
        <w:rPr>
          <w:sz w:val="22"/>
          <w:szCs w:val="22"/>
        </w:rPr>
        <w:t xml:space="preserve"> which could go to hearing or could </w:t>
      </w:r>
      <w:r w:rsidR="003215D9" w:rsidRPr="00F144F5">
        <w:rPr>
          <w:sz w:val="22"/>
          <w:szCs w:val="22"/>
        </w:rPr>
        <w:t xml:space="preserve">be </w:t>
      </w:r>
      <w:r w:rsidRPr="00F144F5">
        <w:rPr>
          <w:sz w:val="22"/>
          <w:szCs w:val="22"/>
        </w:rPr>
        <w:t>noncontroversi</w:t>
      </w:r>
      <w:r w:rsidR="006B1831" w:rsidRPr="00F144F5">
        <w:rPr>
          <w:sz w:val="22"/>
          <w:szCs w:val="22"/>
        </w:rPr>
        <w:t xml:space="preserve">al (no public hearing required). </w:t>
      </w:r>
      <w:r w:rsidRPr="00F144F5">
        <w:rPr>
          <w:sz w:val="22"/>
          <w:szCs w:val="22"/>
        </w:rPr>
        <w:t xml:space="preserve">Involves </w:t>
      </w:r>
      <w:r w:rsidR="003215D9" w:rsidRPr="00F144F5">
        <w:rPr>
          <w:sz w:val="22"/>
          <w:szCs w:val="22"/>
        </w:rPr>
        <w:t xml:space="preserve">advisory </w:t>
      </w:r>
      <w:r w:rsidRPr="00F144F5">
        <w:rPr>
          <w:sz w:val="22"/>
          <w:szCs w:val="22"/>
        </w:rPr>
        <w:t xml:space="preserve">committee work but fewer meetings than major rule. </w:t>
      </w:r>
    </w:p>
    <w:p w14:paraId="41181864" w14:textId="77777777" w:rsidR="002565C6" w:rsidRPr="00F144F5" w:rsidRDefault="002565C6">
      <w:pPr>
        <w:widowControl/>
        <w:rPr>
          <w:sz w:val="22"/>
          <w:szCs w:val="22"/>
        </w:rPr>
      </w:pPr>
    </w:p>
    <w:p w14:paraId="546C9D4D" w14:textId="77777777" w:rsidR="001E0DAC" w:rsidRDefault="005A6F74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>The estimated costs relating to the Office of Administrative Hearings presumes that there will be a hearing (possibly more than one), a filing fee, ALJ preparation time,</w:t>
      </w:r>
      <w:r w:rsidR="006B1831" w:rsidRPr="00F144F5">
        <w:rPr>
          <w:sz w:val="22"/>
          <w:szCs w:val="22"/>
        </w:rPr>
        <w:t xml:space="preserve"> and</w:t>
      </w:r>
      <w:r w:rsidRPr="00F144F5">
        <w:rPr>
          <w:sz w:val="22"/>
          <w:szCs w:val="22"/>
        </w:rPr>
        <w:t xml:space="preserve"> telephone conferences. In establishing estimated costs for each rulemaking, the agency </w:t>
      </w:r>
      <w:r w:rsidR="006B1831" w:rsidRPr="00F144F5">
        <w:rPr>
          <w:sz w:val="22"/>
          <w:szCs w:val="22"/>
        </w:rPr>
        <w:t xml:space="preserve">might </w:t>
      </w:r>
      <w:r w:rsidRPr="00F144F5">
        <w:rPr>
          <w:sz w:val="22"/>
          <w:szCs w:val="22"/>
        </w:rPr>
        <w:t xml:space="preserve">find it helpful to review the costs of its previous </w:t>
      </w:r>
      <w:r w:rsidR="006B1831" w:rsidRPr="00F144F5">
        <w:rPr>
          <w:sz w:val="22"/>
          <w:szCs w:val="22"/>
        </w:rPr>
        <w:t>rulemaking projects</w:t>
      </w:r>
      <w:r w:rsidRPr="00F144F5">
        <w:rPr>
          <w:sz w:val="22"/>
          <w:szCs w:val="22"/>
        </w:rPr>
        <w:t xml:space="preserve"> and its current fixed costs (such as the hourly rates for AG legal fees and the ALJ).</w:t>
      </w:r>
    </w:p>
    <w:p w14:paraId="65DB7F2B" w14:textId="77777777" w:rsidR="001E0DAC" w:rsidRDefault="001E0DAC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AA798D" w14:textId="77777777" w:rsidR="002565C6" w:rsidRPr="001E0DAC" w:rsidRDefault="002565C6">
      <w:pPr>
        <w:widowControl/>
        <w:rPr>
          <w:sz w:val="22"/>
          <w:szCs w:val="22"/>
        </w:rPr>
      </w:pPr>
      <w:r w:rsidRPr="00F144F5">
        <w:rPr>
          <w:i/>
          <w:sz w:val="22"/>
          <w:szCs w:val="22"/>
        </w:rPr>
        <w:lastRenderedPageBreak/>
        <w:t>Small rule</w:t>
      </w:r>
    </w:p>
    <w:p w14:paraId="1705E367" w14:textId="77777777" w:rsidR="002565C6" w:rsidRPr="00F144F5" w:rsidRDefault="002565C6">
      <w:pPr>
        <w:widowControl/>
        <w:rPr>
          <w:sz w:val="22"/>
          <w:szCs w:val="22"/>
        </w:rPr>
      </w:pPr>
    </w:p>
    <w:p w14:paraId="57F19D57" w14:textId="77777777" w:rsidR="002565C6" w:rsidRPr="00F144F5" w:rsidRDefault="002565C6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 xml:space="preserve">Rewrite of or amendments to a noncontroversial rule between three and 14 pages of </w:t>
      </w:r>
      <w:r w:rsidR="006B1831" w:rsidRPr="00F144F5">
        <w:rPr>
          <w:sz w:val="22"/>
          <w:szCs w:val="22"/>
        </w:rPr>
        <w:t>t</w:t>
      </w:r>
      <w:r w:rsidRPr="00F144F5">
        <w:rPr>
          <w:sz w:val="22"/>
          <w:szCs w:val="22"/>
        </w:rPr>
        <w:t>hat may not require committee work because change responds to state or federal law.</w:t>
      </w:r>
    </w:p>
    <w:p w14:paraId="6B2DF1E9" w14:textId="77777777" w:rsidR="002565C6" w:rsidRPr="00F144F5" w:rsidRDefault="002565C6">
      <w:pPr>
        <w:widowControl/>
        <w:rPr>
          <w:sz w:val="22"/>
          <w:szCs w:val="22"/>
        </w:rPr>
      </w:pPr>
    </w:p>
    <w:p w14:paraId="5CA679A5" w14:textId="77777777" w:rsidR="002565C6" w:rsidRPr="00F144F5" w:rsidRDefault="002565C6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 xml:space="preserve">The estimated costs relating to the Office of Administrative Hearings presumes that there will not be a hearing, but that there will be a filing fee and other fees such as ALJ preparation time. In establishing estimated costs for each rulemaking, the agency </w:t>
      </w:r>
      <w:r w:rsidR="006B1831" w:rsidRPr="00F144F5">
        <w:rPr>
          <w:sz w:val="22"/>
          <w:szCs w:val="22"/>
        </w:rPr>
        <w:t xml:space="preserve">might </w:t>
      </w:r>
      <w:r w:rsidRPr="00F144F5">
        <w:rPr>
          <w:sz w:val="22"/>
          <w:szCs w:val="22"/>
        </w:rPr>
        <w:t xml:space="preserve">find it helpful to review the costs of its previous </w:t>
      </w:r>
      <w:r w:rsidR="006B1831" w:rsidRPr="00F144F5">
        <w:rPr>
          <w:sz w:val="22"/>
          <w:szCs w:val="22"/>
        </w:rPr>
        <w:t>rulemaking projects</w:t>
      </w:r>
      <w:r w:rsidRPr="00F144F5">
        <w:rPr>
          <w:sz w:val="22"/>
          <w:szCs w:val="22"/>
        </w:rPr>
        <w:t xml:space="preserve"> and its current fixed costs (such as the hourly rates for AG legal fees and the ALJ).</w:t>
      </w:r>
    </w:p>
    <w:p w14:paraId="79958E79" w14:textId="77777777" w:rsidR="002565C6" w:rsidRPr="00F144F5" w:rsidRDefault="002565C6">
      <w:pPr>
        <w:widowControl/>
        <w:rPr>
          <w:sz w:val="22"/>
          <w:szCs w:val="22"/>
        </w:rPr>
      </w:pPr>
    </w:p>
    <w:p w14:paraId="7987A87F" w14:textId="77777777" w:rsidR="002565C6" w:rsidRPr="00F144F5" w:rsidRDefault="002565C6">
      <w:pPr>
        <w:widowControl/>
        <w:rPr>
          <w:i/>
          <w:sz w:val="22"/>
          <w:szCs w:val="22"/>
        </w:rPr>
      </w:pPr>
      <w:r w:rsidRPr="00F144F5">
        <w:rPr>
          <w:i/>
          <w:sz w:val="22"/>
          <w:szCs w:val="22"/>
        </w:rPr>
        <w:t>Noncontroversial technical</w:t>
      </w:r>
      <w:r w:rsidR="00D109E2" w:rsidRPr="00F144F5">
        <w:rPr>
          <w:i/>
          <w:sz w:val="22"/>
          <w:szCs w:val="22"/>
        </w:rPr>
        <w:t xml:space="preserve"> or </w:t>
      </w:r>
      <w:r w:rsidRPr="00F144F5">
        <w:rPr>
          <w:i/>
          <w:sz w:val="22"/>
          <w:szCs w:val="22"/>
        </w:rPr>
        <w:t>procedural amendment</w:t>
      </w:r>
    </w:p>
    <w:p w14:paraId="645809BE" w14:textId="77777777" w:rsidR="00C7545E" w:rsidRPr="00F144F5" w:rsidRDefault="00C7545E">
      <w:pPr>
        <w:widowControl/>
        <w:rPr>
          <w:sz w:val="22"/>
          <w:szCs w:val="22"/>
        </w:rPr>
      </w:pPr>
    </w:p>
    <w:p w14:paraId="207AB6BC" w14:textId="77777777" w:rsidR="002565C6" w:rsidRPr="00F144F5" w:rsidRDefault="002565C6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>Minor changes to any rule that require mainly editing and notice in the State Register.</w:t>
      </w:r>
    </w:p>
    <w:p w14:paraId="1EC115AD" w14:textId="77777777" w:rsidR="002565C6" w:rsidRPr="00F144F5" w:rsidRDefault="002565C6">
      <w:pPr>
        <w:widowControl/>
        <w:rPr>
          <w:sz w:val="22"/>
          <w:szCs w:val="22"/>
        </w:rPr>
      </w:pPr>
    </w:p>
    <w:p w14:paraId="70695D58" w14:textId="77777777" w:rsidR="002565C6" w:rsidRPr="00F144F5" w:rsidRDefault="002565C6">
      <w:pPr>
        <w:widowControl/>
        <w:rPr>
          <w:sz w:val="22"/>
          <w:szCs w:val="22"/>
        </w:rPr>
      </w:pPr>
      <w:r w:rsidRPr="00F144F5">
        <w:rPr>
          <w:sz w:val="22"/>
          <w:szCs w:val="22"/>
        </w:rPr>
        <w:t xml:space="preserve">The estimated costs relating to the Office of Administrative Hearings presumes that there will not be a hearing, but that there will be a filing fee and other fees such as ALJ preparation time. In establishing estimated costs for each rulemaking, the agency </w:t>
      </w:r>
      <w:r w:rsidR="006B1831" w:rsidRPr="00F144F5">
        <w:rPr>
          <w:sz w:val="22"/>
          <w:szCs w:val="22"/>
        </w:rPr>
        <w:t xml:space="preserve">might </w:t>
      </w:r>
      <w:r w:rsidRPr="00F144F5">
        <w:rPr>
          <w:sz w:val="22"/>
          <w:szCs w:val="22"/>
        </w:rPr>
        <w:t xml:space="preserve">find it helpful to review the costs of its previous </w:t>
      </w:r>
      <w:r w:rsidR="006B1831" w:rsidRPr="00F144F5">
        <w:rPr>
          <w:sz w:val="22"/>
          <w:szCs w:val="22"/>
        </w:rPr>
        <w:t>rulemaking projects</w:t>
      </w:r>
      <w:r w:rsidRPr="00F144F5">
        <w:rPr>
          <w:sz w:val="22"/>
          <w:szCs w:val="22"/>
        </w:rPr>
        <w:t xml:space="preserve"> and its current fixed costs (such as the hourly rates for AG legal fees and the ALJ).</w:t>
      </w:r>
    </w:p>
    <w:p w14:paraId="152EEE76" w14:textId="77777777" w:rsidR="002565C6" w:rsidRPr="00F144F5" w:rsidRDefault="002565C6">
      <w:pPr>
        <w:widowControl/>
        <w:rPr>
          <w:sz w:val="22"/>
          <w:szCs w:val="22"/>
        </w:rPr>
      </w:pPr>
    </w:p>
    <w:p w14:paraId="447ED126" w14:textId="77777777" w:rsidR="002565C6" w:rsidRPr="00F144F5" w:rsidRDefault="002565C6">
      <w:pPr>
        <w:widowControl/>
        <w:tabs>
          <w:tab w:val="center" w:pos="4680"/>
        </w:tabs>
        <w:rPr>
          <w:sz w:val="22"/>
          <w:szCs w:val="22"/>
        </w:rPr>
      </w:pPr>
      <w:r w:rsidRPr="00F144F5">
        <w:rPr>
          <w:sz w:val="22"/>
          <w:szCs w:val="22"/>
        </w:rPr>
        <w:tab/>
        <w:t>ESTIMATE OF HOURS SPENT ON RULE</w:t>
      </w:r>
    </w:p>
    <w:p w14:paraId="502A860E" w14:textId="77777777" w:rsidR="00C63932" w:rsidRPr="00F144F5" w:rsidRDefault="00C63932">
      <w:pPr>
        <w:widowControl/>
        <w:tabs>
          <w:tab w:val="center" w:pos="468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stimate of hours spent on rule"/>
      </w:tblPr>
      <w:tblGrid>
        <w:gridCol w:w="1905"/>
        <w:gridCol w:w="1909"/>
        <w:gridCol w:w="1904"/>
        <w:gridCol w:w="1952"/>
        <w:gridCol w:w="1906"/>
      </w:tblGrid>
      <w:tr w:rsidR="005A6F74" w:rsidRPr="00F144F5" w14:paraId="2980A5E6" w14:textId="77777777" w:rsidTr="00CE3BDF">
        <w:trPr>
          <w:tblHeader/>
        </w:trPr>
        <w:tc>
          <w:tcPr>
            <w:tcW w:w="1905" w:type="dxa"/>
          </w:tcPr>
          <w:p w14:paraId="0A65AC78" w14:textId="77777777" w:rsidR="005A6F74" w:rsidRPr="00F144F5" w:rsidRDefault="005A6F74" w:rsidP="00552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799621DA" w14:textId="77777777" w:rsidR="005A6F74" w:rsidRPr="00F144F5" w:rsidRDefault="005A6F74" w:rsidP="00552E00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Major/Large rule (controversial or with hearing)</w:t>
            </w:r>
          </w:p>
        </w:tc>
        <w:tc>
          <w:tcPr>
            <w:tcW w:w="1904" w:type="dxa"/>
          </w:tcPr>
          <w:p w14:paraId="0F9D931F" w14:textId="77777777" w:rsidR="005A6F74" w:rsidRPr="00F144F5" w:rsidRDefault="005A6F74" w:rsidP="00552E00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Medium rule (possible hearing or longer rule)</w:t>
            </w:r>
          </w:p>
        </w:tc>
        <w:tc>
          <w:tcPr>
            <w:tcW w:w="1952" w:type="dxa"/>
          </w:tcPr>
          <w:p w14:paraId="2B21C788" w14:textId="77777777" w:rsidR="005A6F74" w:rsidRPr="00F144F5" w:rsidRDefault="005A6F74" w:rsidP="00552E00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Small/Non-Hearing rule</w:t>
            </w:r>
          </w:p>
        </w:tc>
        <w:tc>
          <w:tcPr>
            <w:tcW w:w="1906" w:type="dxa"/>
          </w:tcPr>
          <w:p w14:paraId="49F079E2" w14:textId="77777777" w:rsidR="005A6F74" w:rsidRPr="00F144F5" w:rsidRDefault="005A6F74" w:rsidP="00552E00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Minor rule (ex. expedited process or short rule)</w:t>
            </w:r>
            <w:r w:rsidR="00CE3BDF">
              <w:rPr>
                <w:sz w:val="22"/>
                <w:szCs w:val="22"/>
              </w:rPr>
              <w:br/>
            </w:r>
          </w:p>
        </w:tc>
      </w:tr>
      <w:tr w:rsidR="00C63932" w:rsidRPr="00F144F5" w14:paraId="797E2D42" w14:textId="77777777" w:rsidTr="00CE3BDF">
        <w:tc>
          <w:tcPr>
            <w:tcW w:w="1915" w:type="dxa"/>
          </w:tcPr>
          <w:p w14:paraId="47693761" w14:textId="77777777" w:rsidR="00C63932" w:rsidRPr="00F144F5" w:rsidRDefault="00C63932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Program Staff</w:t>
            </w:r>
          </w:p>
        </w:tc>
        <w:tc>
          <w:tcPr>
            <w:tcW w:w="1915" w:type="dxa"/>
          </w:tcPr>
          <w:p w14:paraId="2A7E6160" w14:textId="77777777" w:rsidR="00C63932" w:rsidRPr="00F144F5" w:rsidRDefault="00C63932" w:rsidP="00C63932">
            <w:pPr>
              <w:widowControl/>
              <w:tabs>
                <w:tab w:val="right" w:pos="96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3120</w:t>
            </w:r>
          </w:p>
        </w:tc>
        <w:tc>
          <w:tcPr>
            <w:tcW w:w="1915" w:type="dxa"/>
          </w:tcPr>
          <w:p w14:paraId="4D6A713F" w14:textId="77777777" w:rsidR="00C63932" w:rsidRPr="00F144F5" w:rsidRDefault="00C63932" w:rsidP="00C63932">
            <w:pPr>
              <w:widowControl/>
              <w:tabs>
                <w:tab w:val="right" w:pos="85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1560</w:t>
            </w:r>
          </w:p>
        </w:tc>
        <w:tc>
          <w:tcPr>
            <w:tcW w:w="1915" w:type="dxa"/>
          </w:tcPr>
          <w:p w14:paraId="078761C5" w14:textId="77777777" w:rsidR="00C63932" w:rsidRPr="00F144F5" w:rsidRDefault="00C63932" w:rsidP="00C63932">
            <w:pPr>
              <w:widowControl/>
              <w:tabs>
                <w:tab w:val="right" w:pos="100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600</w:t>
            </w:r>
          </w:p>
        </w:tc>
        <w:tc>
          <w:tcPr>
            <w:tcW w:w="1916" w:type="dxa"/>
          </w:tcPr>
          <w:p w14:paraId="6FBE7AE9" w14:textId="77777777" w:rsidR="00C63932" w:rsidRPr="00F144F5" w:rsidRDefault="00C63932" w:rsidP="00C63932">
            <w:pPr>
              <w:widowControl/>
              <w:tabs>
                <w:tab w:val="right" w:pos="98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90</w:t>
            </w:r>
          </w:p>
        </w:tc>
      </w:tr>
      <w:tr w:rsidR="00C63932" w:rsidRPr="00F144F5" w14:paraId="6311FDAD" w14:textId="77777777" w:rsidTr="00CE3BDF">
        <w:tc>
          <w:tcPr>
            <w:tcW w:w="1905" w:type="dxa"/>
          </w:tcPr>
          <w:p w14:paraId="789B3D7A" w14:textId="77777777" w:rsidR="00C63932" w:rsidRPr="00F144F5" w:rsidRDefault="00C63932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Rulemaker</w:t>
            </w:r>
          </w:p>
        </w:tc>
        <w:tc>
          <w:tcPr>
            <w:tcW w:w="1909" w:type="dxa"/>
          </w:tcPr>
          <w:p w14:paraId="76925EF0" w14:textId="77777777" w:rsidR="00C63932" w:rsidRPr="00F144F5" w:rsidRDefault="00C63932" w:rsidP="00C63932">
            <w:pPr>
              <w:widowControl/>
              <w:tabs>
                <w:tab w:val="right" w:pos="96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3120</w:t>
            </w:r>
          </w:p>
        </w:tc>
        <w:tc>
          <w:tcPr>
            <w:tcW w:w="1904" w:type="dxa"/>
          </w:tcPr>
          <w:p w14:paraId="6851137F" w14:textId="77777777" w:rsidR="00C63932" w:rsidRPr="00F144F5" w:rsidRDefault="00C63932" w:rsidP="00C63932">
            <w:pPr>
              <w:widowControl/>
              <w:tabs>
                <w:tab w:val="right" w:pos="85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1040</w:t>
            </w:r>
          </w:p>
        </w:tc>
        <w:tc>
          <w:tcPr>
            <w:tcW w:w="1952" w:type="dxa"/>
          </w:tcPr>
          <w:p w14:paraId="0965E826" w14:textId="77777777" w:rsidR="00C63932" w:rsidRPr="00F144F5" w:rsidRDefault="00C63932" w:rsidP="00C63932">
            <w:pPr>
              <w:widowControl/>
              <w:tabs>
                <w:tab w:val="right" w:pos="100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300</w:t>
            </w:r>
          </w:p>
        </w:tc>
        <w:tc>
          <w:tcPr>
            <w:tcW w:w="1906" w:type="dxa"/>
          </w:tcPr>
          <w:p w14:paraId="2587BAB2" w14:textId="77777777" w:rsidR="00C63932" w:rsidRPr="00F144F5" w:rsidRDefault="00C63932" w:rsidP="00C63932">
            <w:pPr>
              <w:widowControl/>
              <w:tabs>
                <w:tab w:val="right" w:pos="98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60</w:t>
            </w:r>
          </w:p>
        </w:tc>
      </w:tr>
      <w:tr w:rsidR="00C63932" w:rsidRPr="00F144F5" w14:paraId="7480858B" w14:textId="77777777" w:rsidTr="00CE3BDF">
        <w:tc>
          <w:tcPr>
            <w:tcW w:w="1905" w:type="dxa"/>
          </w:tcPr>
          <w:p w14:paraId="443DCCD5" w14:textId="77777777" w:rsidR="00C63932" w:rsidRPr="00F144F5" w:rsidRDefault="00C63932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Clerical</w:t>
            </w:r>
          </w:p>
        </w:tc>
        <w:tc>
          <w:tcPr>
            <w:tcW w:w="1909" w:type="dxa"/>
          </w:tcPr>
          <w:p w14:paraId="11E7F24E" w14:textId="77777777" w:rsidR="00C63932" w:rsidRPr="00F144F5" w:rsidRDefault="00C63932" w:rsidP="00C63932">
            <w:pPr>
              <w:widowControl/>
              <w:tabs>
                <w:tab w:val="right" w:pos="96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320</w:t>
            </w:r>
          </w:p>
        </w:tc>
        <w:tc>
          <w:tcPr>
            <w:tcW w:w="1904" w:type="dxa"/>
          </w:tcPr>
          <w:p w14:paraId="0A475588" w14:textId="77777777" w:rsidR="00C63932" w:rsidRPr="00F144F5" w:rsidRDefault="00C63932" w:rsidP="00C63932">
            <w:pPr>
              <w:widowControl/>
              <w:tabs>
                <w:tab w:val="right" w:pos="85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200</w:t>
            </w:r>
          </w:p>
        </w:tc>
        <w:tc>
          <w:tcPr>
            <w:tcW w:w="1952" w:type="dxa"/>
          </w:tcPr>
          <w:p w14:paraId="6DA908E9" w14:textId="77777777" w:rsidR="00C63932" w:rsidRPr="00F144F5" w:rsidRDefault="00C63932" w:rsidP="00C63932">
            <w:pPr>
              <w:widowControl/>
              <w:tabs>
                <w:tab w:val="right" w:pos="100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150</w:t>
            </w:r>
          </w:p>
        </w:tc>
        <w:tc>
          <w:tcPr>
            <w:tcW w:w="1906" w:type="dxa"/>
          </w:tcPr>
          <w:p w14:paraId="08C7CFEE" w14:textId="77777777" w:rsidR="00C63932" w:rsidRPr="00F144F5" w:rsidRDefault="00C63932" w:rsidP="00C63932">
            <w:pPr>
              <w:widowControl/>
              <w:tabs>
                <w:tab w:val="right" w:pos="98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60</w:t>
            </w:r>
          </w:p>
        </w:tc>
      </w:tr>
      <w:tr w:rsidR="00520759" w:rsidRPr="00F144F5" w14:paraId="26FDB519" w14:textId="77777777" w:rsidTr="00CE3BDF">
        <w:tc>
          <w:tcPr>
            <w:tcW w:w="1905" w:type="dxa"/>
          </w:tcPr>
          <w:p w14:paraId="01902C85" w14:textId="77777777" w:rsidR="00520759" w:rsidRPr="00F144F5" w:rsidRDefault="00520759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>Legal Review</w:t>
            </w:r>
          </w:p>
        </w:tc>
        <w:tc>
          <w:tcPr>
            <w:tcW w:w="1909" w:type="dxa"/>
          </w:tcPr>
          <w:p w14:paraId="1308AA15" w14:textId="77777777" w:rsidR="00520759" w:rsidRPr="00F144F5" w:rsidRDefault="00520759" w:rsidP="00C63932">
            <w:pPr>
              <w:widowControl/>
              <w:tabs>
                <w:tab w:val="right" w:pos="96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86</w:t>
            </w:r>
          </w:p>
        </w:tc>
        <w:tc>
          <w:tcPr>
            <w:tcW w:w="1904" w:type="dxa"/>
          </w:tcPr>
          <w:p w14:paraId="4E71B136" w14:textId="77777777" w:rsidR="00520759" w:rsidRPr="00F144F5" w:rsidRDefault="00520759" w:rsidP="00C63932">
            <w:pPr>
              <w:widowControl/>
              <w:tabs>
                <w:tab w:val="right" w:pos="85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54</w:t>
            </w:r>
          </w:p>
        </w:tc>
        <w:tc>
          <w:tcPr>
            <w:tcW w:w="1952" w:type="dxa"/>
          </w:tcPr>
          <w:p w14:paraId="7AA831D4" w14:textId="77777777" w:rsidR="00520759" w:rsidRPr="00F144F5" w:rsidRDefault="00520759" w:rsidP="00C63932">
            <w:pPr>
              <w:widowControl/>
              <w:tabs>
                <w:tab w:val="right" w:pos="100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10</w:t>
            </w:r>
          </w:p>
        </w:tc>
        <w:tc>
          <w:tcPr>
            <w:tcW w:w="1906" w:type="dxa"/>
          </w:tcPr>
          <w:p w14:paraId="218C8602" w14:textId="77777777" w:rsidR="00520759" w:rsidRPr="00F144F5" w:rsidRDefault="00520759" w:rsidP="007E188B">
            <w:pPr>
              <w:widowControl/>
              <w:tabs>
                <w:tab w:val="right" w:pos="98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</w:r>
            <w:r w:rsidR="007E188B" w:rsidRPr="00F144F5">
              <w:rPr>
                <w:sz w:val="22"/>
                <w:szCs w:val="22"/>
              </w:rPr>
              <w:t>6</w:t>
            </w:r>
          </w:p>
        </w:tc>
      </w:tr>
      <w:tr w:rsidR="002C1C59" w:rsidRPr="00F144F5" w14:paraId="47E8A9BD" w14:textId="77777777" w:rsidTr="00CE3BDF">
        <w:tc>
          <w:tcPr>
            <w:tcW w:w="1905" w:type="dxa"/>
          </w:tcPr>
          <w:p w14:paraId="6E1946A9" w14:textId="77777777" w:rsidR="002C1C59" w:rsidRPr="00F144F5" w:rsidRDefault="002C1C59">
            <w:pPr>
              <w:widowControl/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 xml:space="preserve">OAH Services </w:t>
            </w:r>
          </w:p>
        </w:tc>
        <w:tc>
          <w:tcPr>
            <w:tcW w:w="1909" w:type="dxa"/>
          </w:tcPr>
          <w:p w14:paraId="5AB8C5A4" w14:textId="77777777" w:rsidR="002C1C59" w:rsidRPr="00F144F5" w:rsidRDefault="002C1C59" w:rsidP="002C1C59">
            <w:pPr>
              <w:widowControl/>
              <w:tabs>
                <w:tab w:val="right" w:pos="96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135</w:t>
            </w:r>
          </w:p>
        </w:tc>
        <w:tc>
          <w:tcPr>
            <w:tcW w:w="1904" w:type="dxa"/>
          </w:tcPr>
          <w:p w14:paraId="7D831557" w14:textId="77777777" w:rsidR="002C1C59" w:rsidRPr="00F144F5" w:rsidRDefault="002C1C59" w:rsidP="002C1C59">
            <w:pPr>
              <w:widowControl/>
              <w:tabs>
                <w:tab w:val="right" w:pos="850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50</w:t>
            </w:r>
          </w:p>
        </w:tc>
        <w:tc>
          <w:tcPr>
            <w:tcW w:w="1952" w:type="dxa"/>
          </w:tcPr>
          <w:p w14:paraId="28D6B8F9" w14:textId="77777777" w:rsidR="002C1C59" w:rsidRPr="00F144F5" w:rsidRDefault="002C1C59" w:rsidP="002C1C59">
            <w:pPr>
              <w:widowControl/>
              <w:tabs>
                <w:tab w:val="right" w:pos="100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  <w:t>10</w:t>
            </w:r>
          </w:p>
        </w:tc>
        <w:tc>
          <w:tcPr>
            <w:tcW w:w="1906" w:type="dxa"/>
          </w:tcPr>
          <w:p w14:paraId="5082E06E" w14:textId="77777777" w:rsidR="002C1C59" w:rsidRPr="00F144F5" w:rsidRDefault="002C1C59" w:rsidP="007E188B">
            <w:pPr>
              <w:widowControl/>
              <w:tabs>
                <w:tab w:val="right" w:pos="965"/>
              </w:tabs>
              <w:rPr>
                <w:sz w:val="22"/>
                <w:szCs w:val="22"/>
              </w:rPr>
            </w:pPr>
            <w:r w:rsidRPr="00F144F5">
              <w:rPr>
                <w:sz w:val="22"/>
                <w:szCs w:val="22"/>
              </w:rPr>
              <w:tab/>
            </w:r>
            <w:r w:rsidR="007E188B" w:rsidRPr="00F144F5">
              <w:rPr>
                <w:sz w:val="22"/>
                <w:szCs w:val="22"/>
              </w:rPr>
              <w:t>4</w:t>
            </w:r>
          </w:p>
        </w:tc>
      </w:tr>
    </w:tbl>
    <w:p w14:paraId="43C47FF7" w14:textId="77777777" w:rsidR="002C1C59" w:rsidRPr="00F144F5" w:rsidRDefault="002C1C59">
      <w:pPr>
        <w:widowControl/>
        <w:tabs>
          <w:tab w:val="left" w:pos="-720"/>
          <w:tab w:val="left" w:pos="480"/>
          <w:tab w:val="left" w:pos="2160"/>
          <w:tab w:val="left" w:pos="4080"/>
          <w:tab w:val="left" w:pos="5640"/>
          <w:tab w:val="left" w:pos="6000"/>
          <w:tab w:val="left" w:pos="7200"/>
          <w:tab w:val="left" w:pos="8160"/>
          <w:tab w:val="left" w:pos="9240"/>
        </w:tabs>
        <w:rPr>
          <w:sz w:val="22"/>
          <w:szCs w:val="22"/>
        </w:rPr>
      </w:pPr>
    </w:p>
    <w:p w14:paraId="646E0B6F" w14:textId="77777777" w:rsidR="00F01D1A" w:rsidRPr="00F144F5" w:rsidRDefault="00F01D1A" w:rsidP="00F01D1A">
      <w:pPr>
        <w:widowControl/>
        <w:tabs>
          <w:tab w:val="left" w:pos="-720"/>
          <w:tab w:val="left" w:pos="480"/>
          <w:tab w:val="left" w:pos="2160"/>
          <w:tab w:val="left" w:pos="4080"/>
          <w:tab w:val="left" w:pos="5640"/>
          <w:tab w:val="left" w:pos="6000"/>
          <w:tab w:val="left" w:pos="7200"/>
          <w:tab w:val="left" w:pos="8160"/>
          <w:tab w:val="left" w:pos="9240"/>
        </w:tabs>
        <w:rPr>
          <w:sz w:val="22"/>
          <w:szCs w:val="22"/>
        </w:rPr>
      </w:pPr>
      <w:r w:rsidRPr="00F144F5">
        <w:rPr>
          <w:b/>
          <w:sz w:val="22"/>
          <w:szCs w:val="22"/>
        </w:rPr>
        <w:t xml:space="preserve">**[REVISED IN </w:t>
      </w:r>
      <w:r w:rsidR="00AD5CFD">
        <w:rPr>
          <w:b/>
          <w:sz w:val="22"/>
          <w:szCs w:val="22"/>
        </w:rPr>
        <w:t>2020</w:t>
      </w:r>
      <w:r w:rsidRPr="00F144F5">
        <w:rPr>
          <w:b/>
          <w:sz w:val="22"/>
          <w:szCs w:val="22"/>
        </w:rPr>
        <w:t>]</w:t>
      </w:r>
      <w:r w:rsidRPr="00F144F5">
        <w:rPr>
          <w:sz w:val="22"/>
          <w:szCs w:val="22"/>
        </w:rPr>
        <w:t xml:space="preserve"> </w:t>
      </w:r>
      <w:r w:rsidRPr="00F144F5">
        <w:rPr>
          <w:b/>
          <w:sz w:val="22"/>
          <w:szCs w:val="22"/>
        </w:rPr>
        <w:t>Rulemaking Editor’s Notes:</w:t>
      </w:r>
    </w:p>
    <w:p w14:paraId="6CB97FF5" w14:textId="77777777" w:rsidR="00F01D1A" w:rsidRPr="00F144F5" w:rsidRDefault="00F01D1A" w:rsidP="00F01D1A">
      <w:pPr>
        <w:widowControl/>
        <w:tabs>
          <w:tab w:val="left" w:pos="-720"/>
          <w:tab w:val="left" w:pos="480"/>
          <w:tab w:val="left" w:pos="2160"/>
          <w:tab w:val="left" w:pos="4080"/>
          <w:tab w:val="left" w:pos="5640"/>
          <w:tab w:val="left" w:pos="6000"/>
          <w:tab w:val="left" w:pos="7200"/>
          <w:tab w:val="left" w:pos="8160"/>
          <w:tab w:val="left" w:pos="9240"/>
        </w:tabs>
        <w:rPr>
          <w:sz w:val="22"/>
          <w:szCs w:val="22"/>
        </w:rPr>
      </w:pPr>
    </w:p>
    <w:p w14:paraId="236EC3A8" w14:textId="690D75C9" w:rsidR="00782ECA" w:rsidRDefault="00320699" w:rsidP="0025589E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720"/>
          <w:tab w:val="left" w:pos="2160"/>
          <w:tab w:val="left" w:pos="4080"/>
          <w:tab w:val="left" w:pos="5640"/>
          <w:tab w:val="left" w:pos="6000"/>
          <w:tab w:val="left" w:pos="7200"/>
          <w:tab w:val="left" w:pos="8160"/>
          <w:tab w:val="left" w:pos="9240"/>
        </w:tabs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In</w:t>
      </w:r>
      <w:r w:rsidR="00782ECA" w:rsidRPr="00DE0CCF">
        <w:rPr>
          <w:b/>
          <w:sz w:val="22"/>
          <w:szCs w:val="22"/>
        </w:rPr>
        <w:t xml:space="preserve"> Fiscal Year 20</w:t>
      </w:r>
      <w:r w:rsidR="00D214B4">
        <w:rPr>
          <w:b/>
          <w:sz w:val="22"/>
          <w:szCs w:val="22"/>
        </w:rPr>
        <w:t>20</w:t>
      </w:r>
      <w:r w:rsidR="00782ECA" w:rsidRPr="00DE0CCF">
        <w:rPr>
          <w:b/>
          <w:sz w:val="22"/>
          <w:szCs w:val="22"/>
        </w:rPr>
        <w:t xml:space="preserve">, </w:t>
      </w:r>
      <w:r w:rsidR="00DE0CCF" w:rsidRPr="00DE0CCF">
        <w:rPr>
          <w:b/>
          <w:sz w:val="22"/>
          <w:szCs w:val="22"/>
        </w:rPr>
        <w:t xml:space="preserve">the </w:t>
      </w:r>
      <w:r w:rsidR="00782ECA" w:rsidRPr="00DE0CCF">
        <w:rPr>
          <w:b/>
          <w:sz w:val="22"/>
          <w:szCs w:val="22"/>
        </w:rPr>
        <w:t>Office of the Attorney General</w:t>
      </w:r>
      <w:r w:rsidR="00720DF6">
        <w:rPr>
          <w:b/>
          <w:sz w:val="22"/>
          <w:szCs w:val="22"/>
        </w:rPr>
        <w:t>’s billing</w:t>
      </w:r>
      <w:r w:rsidR="00782ECA" w:rsidRPr="00DE0CCF">
        <w:rPr>
          <w:b/>
          <w:sz w:val="22"/>
          <w:szCs w:val="22"/>
        </w:rPr>
        <w:t xml:space="preserve"> </w:t>
      </w:r>
      <w:r w:rsidR="00720DF6">
        <w:rPr>
          <w:b/>
          <w:sz w:val="22"/>
          <w:szCs w:val="22"/>
        </w:rPr>
        <w:t xml:space="preserve">rates </w:t>
      </w:r>
      <w:r w:rsidR="004577CA">
        <w:rPr>
          <w:b/>
          <w:sz w:val="22"/>
          <w:szCs w:val="22"/>
        </w:rPr>
        <w:t xml:space="preserve">are </w:t>
      </w:r>
      <w:r w:rsidR="004577CA" w:rsidRPr="004577CA">
        <w:rPr>
          <w:b/>
          <w:sz w:val="22"/>
          <w:szCs w:val="22"/>
        </w:rPr>
        <w:t xml:space="preserve">increased </w:t>
      </w:r>
      <w:r w:rsidR="004577CA">
        <w:rPr>
          <w:b/>
          <w:sz w:val="22"/>
          <w:szCs w:val="22"/>
        </w:rPr>
        <w:t xml:space="preserve">to </w:t>
      </w:r>
      <w:r w:rsidR="00782ECA" w:rsidRPr="00DE0CCF">
        <w:rPr>
          <w:b/>
          <w:sz w:val="22"/>
          <w:szCs w:val="22"/>
        </w:rPr>
        <w:t>$13</w:t>
      </w:r>
      <w:r w:rsidR="00572D98">
        <w:rPr>
          <w:b/>
          <w:sz w:val="22"/>
          <w:szCs w:val="22"/>
        </w:rPr>
        <w:t>3</w:t>
      </w:r>
      <w:r w:rsidR="00DB0EC3">
        <w:rPr>
          <w:b/>
          <w:sz w:val="22"/>
          <w:szCs w:val="22"/>
        </w:rPr>
        <w:t xml:space="preserve"> </w:t>
      </w:r>
      <w:r w:rsidR="00782ECA" w:rsidRPr="00DE0CCF">
        <w:rPr>
          <w:b/>
          <w:sz w:val="22"/>
          <w:szCs w:val="22"/>
        </w:rPr>
        <w:t>per hour for attorney time.</w:t>
      </w:r>
    </w:p>
    <w:p w14:paraId="6B54BC00" w14:textId="77777777" w:rsidR="004673C9" w:rsidRPr="004577CA" w:rsidRDefault="004673C9" w:rsidP="004673C9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720"/>
          <w:tab w:val="left" w:pos="2160"/>
          <w:tab w:val="left" w:pos="4080"/>
          <w:tab w:val="left" w:pos="5640"/>
          <w:tab w:val="left" w:pos="6000"/>
          <w:tab w:val="left" w:pos="7200"/>
          <w:tab w:val="left" w:pos="8160"/>
          <w:tab w:val="left" w:pos="9240"/>
        </w:tabs>
        <w:spacing w:after="120"/>
        <w:contextualSpacing w:val="0"/>
        <w:rPr>
          <w:b/>
          <w:sz w:val="22"/>
          <w:szCs w:val="22"/>
        </w:rPr>
      </w:pPr>
      <w:r w:rsidRPr="004577CA">
        <w:rPr>
          <w:b/>
          <w:sz w:val="22"/>
          <w:szCs w:val="22"/>
        </w:rPr>
        <w:t>In Fiscal Year 2021, OAH’s billing rates are increased to</w:t>
      </w:r>
      <w:r>
        <w:rPr>
          <w:b/>
          <w:sz w:val="22"/>
          <w:szCs w:val="22"/>
        </w:rPr>
        <w:t>:</w:t>
      </w:r>
      <w:r w:rsidRPr="004577CA">
        <w:rPr>
          <w:b/>
          <w:sz w:val="22"/>
          <w:szCs w:val="22"/>
        </w:rPr>
        <w:t xml:space="preserve"> $215 per hour for judicial time; $105 per hour for staff attorney time.</w:t>
      </w:r>
    </w:p>
    <w:p w14:paraId="2CBD4024" w14:textId="77777777" w:rsidR="004673C9" w:rsidRPr="00DE0CCF" w:rsidRDefault="004673C9" w:rsidP="0025589E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720"/>
          <w:tab w:val="left" w:pos="2160"/>
          <w:tab w:val="left" w:pos="4080"/>
          <w:tab w:val="left" w:pos="5640"/>
          <w:tab w:val="left" w:pos="6000"/>
          <w:tab w:val="left" w:pos="7200"/>
          <w:tab w:val="left" w:pos="8160"/>
          <w:tab w:val="left" w:pos="9240"/>
        </w:tabs>
        <w:spacing w:after="120"/>
        <w:contextualSpacing w:val="0"/>
        <w:rPr>
          <w:b/>
          <w:sz w:val="22"/>
          <w:szCs w:val="22"/>
        </w:rPr>
      </w:pPr>
      <w:r w:rsidRPr="004577CA">
        <w:rPr>
          <w:b/>
          <w:sz w:val="22"/>
          <w:szCs w:val="22"/>
        </w:rPr>
        <w:t>In Fiscal Year 2021</w:t>
      </w:r>
      <w:r>
        <w:rPr>
          <w:b/>
          <w:sz w:val="22"/>
          <w:szCs w:val="22"/>
        </w:rPr>
        <w:t xml:space="preserve">, the </w:t>
      </w:r>
      <w:r w:rsidRPr="00A907F1">
        <w:rPr>
          <w:b/>
          <w:sz w:val="22"/>
          <w:szCs w:val="22"/>
        </w:rPr>
        <w:t xml:space="preserve">State </w:t>
      </w:r>
      <w:r>
        <w:rPr>
          <w:b/>
          <w:sz w:val="22"/>
          <w:szCs w:val="22"/>
        </w:rPr>
        <w:t>Register’s estimated rate is $</w:t>
      </w:r>
      <w:r w:rsidRPr="004673C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35 per </w:t>
      </w:r>
      <w:r w:rsidRPr="004673C9">
        <w:rPr>
          <w:b/>
          <w:sz w:val="22"/>
          <w:szCs w:val="22"/>
        </w:rPr>
        <w:t>page</w:t>
      </w:r>
      <w:r>
        <w:rPr>
          <w:b/>
          <w:sz w:val="22"/>
          <w:szCs w:val="22"/>
        </w:rPr>
        <w:t>.</w:t>
      </w:r>
    </w:p>
    <w:sectPr w:rsidR="004673C9" w:rsidRPr="00DE0CCF" w:rsidSect="00A9307C">
      <w:footerReference w:type="default" r:id="rId7"/>
      <w:type w:val="continuous"/>
      <w:pgSz w:w="12240" w:h="15840"/>
      <w:pgMar w:top="144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9357" w14:textId="77777777" w:rsidR="00096660" w:rsidRDefault="00096660">
      <w:r>
        <w:separator/>
      </w:r>
    </w:p>
  </w:endnote>
  <w:endnote w:type="continuationSeparator" w:id="0">
    <w:p w14:paraId="14E5E5F2" w14:textId="77777777" w:rsidR="00096660" w:rsidRDefault="00096660">
      <w:r>
        <w:continuationSeparator/>
      </w:r>
    </w:p>
  </w:endnote>
  <w:endnote w:type="continuationNotice" w:id="1">
    <w:p w14:paraId="3ECDCE3E" w14:textId="77777777" w:rsidR="00096660" w:rsidRDefault="00096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8257" w14:textId="77777777" w:rsidR="00A9307C" w:rsidRDefault="00A9307C">
    <w:pPr>
      <w:spacing w:line="240" w:lineRule="exact"/>
    </w:pPr>
  </w:p>
  <w:p w14:paraId="1A0806AB" w14:textId="77777777" w:rsidR="00A9307C" w:rsidRDefault="00A9307C" w:rsidP="001057BC">
    <w:pPr>
      <w:pBdr>
        <w:bottom w:val="single" w:sz="4" w:space="1" w:color="auto"/>
      </w:pBdr>
      <w:tabs>
        <w:tab w:val="center" w:pos="4680"/>
      </w:tabs>
    </w:pPr>
    <w:r>
      <w:tab/>
    </w:r>
    <w:smartTag w:uri="urn:schemas-microsoft-com:office:smarttags" w:element="place">
      <w:smartTag w:uri="urn:schemas-microsoft-com:office:smarttags" w:element="State">
        <w:r>
          <w:rPr>
            <w:sz w:val="48"/>
            <w:szCs w:val="48"/>
          </w:rPr>
          <w:t>Minnesota</w:t>
        </w:r>
      </w:smartTag>
    </w:smartTag>
    <w:r>
      <w:rPr>
        <w:sz w:val="48"/>
        <w:szCs w:val="48"/>
      </w:rPr>
      <w:t xml:space="preserve"> Rulemaking Manual - Appendix</w:t>
    </w:r>
  </w:p>
  <w:p w14:paraId="40F49767" w14:textId="77777777" w:rsidR="00A9307C" w:rsidRDefault="00A9307C">
    <w:pPr>
      <w:spacing w:line="19" w:lineRule="exact"/>
    </w:pPr>
  </w:p>
  <w:p w14:paraId="026116A0" w14:textId="77777777" w:rsidR="00A9307C" w:rsidRDefault="00D620C9">
    <w:pPr>
      <w:tabs>
        <w:tab w:val="center" w:pos="4680"/>
        <w:tab w:val="right" w:pos="9360"/>
      </w:tabs>
    </w:pPr>
    <w:r>
      <w:t>8/15/2020</w:t>
    </w:r>
    <w:r w:rsidR="00A9307C">
      <w:tab/>
      <w:t>COST</w:t>
    </w:r>
    <w:r w:rsidR="00A9307C">
      <w:noBreakHyphen/>
      <w:t>INF - Information About the Cost of Rulemaking</w:t>
    </w:r>
    <w:r w:rsidR="00A93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FAF4" w14:textId="77777777" w:rsidR="00096660" w:rsidRDefault="00096660">
      <w:r>
        <w:separator/>
      </w:r>
    </w:p>
  </w:footnote>
  <w:footnote w:type="continuationSeparator" w:id="0">
    <w:p w14:paraId="100470D4" w14:textId="77777777" w:rsidR="00096660" w:rsidRDefault="00096660">
      <w:r>
        <w:continuationSeparator/>
      </w:r>
    </w:p>
  </w:footnote>
  <w:footnote w:type="continuationNotice" w:id="1">
    <w:p w14:paraId="7FE128D2" w14:textId="77777777" w:rsidR="00096660" w:rsidRDefault="00096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6AB0"/>
    <w:multiLevelType w:val="hybridMultilevel"/>
    <w:tmpl w:val="757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B0423"/>
    <w:multiLevelType w:val="hybridMultilevel"/>
    <w:tmpl w:val="BF00007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91"/>
    <w:rsid w:val="00006094"/>
    <w:rsid w:val="00037348"/>
    <w:rsid w:val="000504C4"/>
    <w:rsid w:val="00067AB1"/>
    <w:rsid w:val="000739CF"/>
    <w:rsid w:val="000751D7"/>
    <w:rsid w:val="00096660"/>
    <w:rsid w:val="000C51F2"/>
    <w:rsid w:val="000E1B57"/>
    <w:rsid w:val="000F1966"/>
    <w:rsid w:val="001057BC"/>
    <w:rsid w:val="00135570"/>
    <w:rsid w:val="00155A2A"/>
    <w:rsid w:val="001A585C"/>
    <w:rsid w:val="001B4605"/>
    <w:rsid w:val="001C33A4"/>
    <w:rsid w:val="001D2C65"/>
    <w:rsid w:val="001E0DAC"/>
    <w:rsid w:val="001F049B"/>
    <w:rsid w:val="00201573"/>
    <w:rsid w:val="0025589E"/>
    <w:rsid w:val="002565C6"/>
    <w:rsid w:val="00270FBA"/>
    <w:rsid w:val="002716C6"/>
    <w:rsid w:val="00274905"/>
    <w:rsid w:val="00283921"/>
    <w:rsid w:val="00284F49"/>
    <w:rsid w:val="002C1C59"/>
    <w:rsid w:val="002D414A"/>
    <w:rsid w:val="00320699"/>
    <w:rsid w:val="003215D9"/>
    <w:rsid w:val="003614AA"/>
    <w:rsid w:val="00364795"/>
    <w:rsid w:val="003814E7"/>
    <w:rsid w:val="003B2D20"/>
    <w:rsid w:val="003E4DB6"/>
    <w:rsid w:val="003F753E"/>
    <w:rsid w:val="004225C0"/>
    <w:rsid w:val="00431C8B"/>
    <w:rsid w:val="004577CA"/>
    <w:rsid w:val="00461D29"/>
    <w:rsid w:val="004673C9"/>
    <w:rsid w:val="00483116"/>
    <w:rsid w:val="00490EC6"/>
    <w:rsid w:val="004A78E9"/>
    <w:rsid w:val="004B36C2"/>
    <w:rsid w:val="004E16C7"/>
    <w:rsid w:val="004E1F01"/>
    <w:rsid w:val="004F444D"/>
    <w:rsid w:val="00520759"/>
    <w:rsid w:val="005369BD"/>
    <w:rsid w:val="00564B06"/>
    <w:rsid w:val="00572D98"/>
    <w:rsid w:val="005844A0"/>
    <w:rsid w:val="00586D15"/>
    <w:rsid w:val="005A6F74"/>
    <w:rsid w:val="005B0491"/>
    <w:rsid w:val="005B650B"/>
    <w:rsid w:val="005D0320"/>
    <w:rsid w:val="00605C9B"/>
    <w:rsid w:val="006236ED"/>
    <w:rsid w:val="0064582C"/>
    <w:rsid w:val="00674700"/>
    <w:rsid w:val="00676B5B"/>
    <w:rsid w:val="006B1831"/>
    <w:rsid w:val="00720DF6"/>
    <w:rsid w:val="0073069A"/>
    <w:rsid w:val="00747835"/>
    <w:rsid w:val="00775CC5"/>
    <w:rsid w:val="00782ECA"/>
    <w:rsid w:val="007B0949"/>
    <w:rsid w:val="007D7988"/>
    <w:rsid w:val="007E188B"/>
    <w:rsid w:val="008200FB"/>
    <w:rsid w:val="00876AD7"/>
    <w:rsid w:val="008A5BC4"/>
    <w:rsid w:val="008B43AC"/>
    <w:rsid w:val="008C397D"/>
    <w:rsid w:val="008E70AD"/>
    <w:rsid w:val="00927062"/>
    <w:rsid w:val="009503C4"/>
    <w:rsid w:val="00965A83"/>
    <w:rsid w:val="00981093"/>
    <w:rsid w:val="009A04F4"/>
    <w:rsid w:val="009A465A"/>
    <w:rsid w:val="009A7BDB"/>
    <w:rsid w:val="00A13E0A"/>
    <w:rsid w:val="00A33355"/>
    <w:rsid w:val="00A45387"/>
    <w:rsid w:val="00A63CDC"/>
    <w:rsid w:val="00A7044F"/>
    <w:rsid w:val="00A776CB"/>
    <w:rsid w:val="00A907F1"/>
    <w:rsid w:val="00A9307C"/>
    <w:rsid w:val="00A95787"/>
    <w:rsid w:val="00AA7E9A"/>
    <w:rsid w:val="00AB2209"/>
    <w:rsid w:val="00AB6B9C"/>
    <w:rsid w:val="00AC043B"/>
    <w:rsid w:val="00AC6B9E"/>
    <w:rsid w:val="00AD41B9"/>
    <w:rsid w:val="00AD5CFD"/>
    <w:rsid w:val="00B02A6A"/>
    <w:rsid w:val="00B06926"/>
    <w:rsid w:val="00B26D06"/>
    <w:rsid w:val="00B57F63"/>
    <w:rsid w:val="00B6000F"/>
    <w:rsid w:val="00BE72C1"/>
    <w:rsid w:val="00C03194"/>
    <w:rsid w:val="00C10B10"/>
    <w:rsid w:val="00C44BE4"/>
    <w:rsid w:val="00C63932"/>
    <w:rsid w:val="00C7545E"/>
    <w:rsid w:val="00C91D83"/>
    <w:rsid w:val="00CB27C3"/>
    <w:rsid w:val="00CD1816"/>
    <w:rsid w:val="00CE3BDF"/>
    <w:rsid w:val="00CF1D9B"/>
    <w:rsid w:val="00D109E2"/>
    <w:rsid w:val="00D1642E"/>
    <w:rsid w:val="00D214B4"/>
    <w:rsid w:val="00D36E00"/>
    <w:rsid w:val="00D43463"/>
    <w:rsid w:val="00D52411"/>
    <w:rsid w:val="00D620C9"/>
    <w:rsid w:val="00D77F52"/>
    <w:rsid w:val="00D82AC8"/>
    <w:rsid w:val="00DB0EC3"/>
    <w:rsid w:val="00DC642F"/>
    <w:rsid w:val="00DD60C5"/>
    <w:rsid w:val="00DE0CCF"/>
    <w:rsid w:val="00DE38BD"/>
    <w:rsid w:val="00DF26A6"/>
    <w:rsid w:val="00E01F3E"/>
    <w:rsid w:val="00E0311F"/>
    <w:rsid w:val="00E26A97"/>
    <w:rsid w:val="00E42C73"/>
    <w:rsid w:val="00E54FF2"/>
    <w:rsid w:val="00E5634F"/>
    <w:rsid w:val="00EA643A"/>
    <w:rsid w:val="00EE4BC2"/>
    <w:rsid w:val="00EF5AE4"/>
    <w:rsid w:val="00F01D1A"/>
    <w:rsid w:val="00F144F5"/>
    <w:rsid w:val="00F44FB9"/>
    <w:rsid w:val="00F643BC"/>
    <w:rsid w:val="00FD793A"/>
    <w:rsid w:val="00FE2989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4D92D1B8"/>
  <w14:defaultImageDpi w14:val="0"/>
  <w15:docId w15:val="{4F1B4741-A773-4358-BA3D-310075B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F5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DF2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F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F2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F5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2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F5"/>
    <w:rPr>
      <w:sz w:val="0"/>
      <w:szCs w:val="0"/>
      <w:lang w:eastAsia="ja-JP"/>
    </w:rPr>
  </w:style>
  <w:style w:type="table" w:styleId="TableGrid">
    <w:name w:val="Table Grid"/>
    <w:basedOn w:val="TableNormal"/>
    <w:rsid w:val="00C6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30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9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3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69A"/>
    <w:rPr>
      <w:b/>
      <w:bCs/>
      <w:lang w:eastAsia="ja-JP"/>
    </w:rPr>
  </w:style>
  <w:style w:type="paragraph" w:styleId="Revision">
    <w:name w:val="Revision"/>
    <w:hidden/>
    <w:uiPriority w:val="99"/>
    <w:semiHidden/>
    <w:rsid w:val="0073069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B27C3"/>
    <w:pPr>
      <w:ind w:left="720"/>
      <w:contextualSpacing/>
    </w:pPr>
  </w:style>
  <w:style w:type="character" w:styleId="Hyperlink">
    <w:name w:val="Hyperlink"/>
    <w:basedOn w:val="DefaultParagraphFont"/>
    <w:unhideWhenUsed/>
    <w:rsid w:val="00F01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MDH</dc:creator>
  <cp:lastModifiedBy>Winget, Patricia (MDH)</cp:lastModifiedBy>
  <cp:revision>3</cp:revision>
  <cp:lastPrinted>2016-07-25T19:55:00Z</cp:lastPrinted>
  <dcterms:created xsi:type="dcterms:W3CDTF">2020-08-06T16:31:00Z</dcterms:created>
  <dcterms:modified xsi:type="dcterms:W3CDTF">2020-08-06T16:32:00Z</dcterms:modified>
</cp:coreProperties>
</file>