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6CB" w:rsidRPr="00B72DCC" w:rsidRDefault="00B72DCC" w:rsidP="00B72DCC">
      <w:pPr>
        <w:jc w:val="center"/>
        <w:rPr>
          <w:b/>
        </w:rPr>
      </w:pPr>
      <w:bookmarkStart w:id="0" w:name="_GoBack"/>
      <w:bookmarkEnd w:id="0"/>
      <w:r w:rsidRPr="00B72DCC">
        <w:rPr>
          <w:b/>
        </w:rPr>
        <w:t>Recommended Pediatric Equipment Checklist</w:t>
      </w:r>
    </w:p>
    <w:p w:rsidR="00B72DCC" w:rsidRDefault="00B72DCC"/>
    <w:p w:rsidR="00856DF4" w:rsidRDefault="00856DF4" w:rsidP="008B22DA">
      <w:pPr>
        <w:jc w:val="center"/>
        <w:rPr>
          <w:b/>
        </w:rPr>
      </w:pPr>
    </w:p>
    <w:p w:rsidR="008B22DA" w:rsidRPr="008B22DA" w:rsidRDefault="008B22DA" w:rsidP="008B22DA">
      <w:pPr>
        <w:jc w:val="center"/>
        <w:rPr>
          <w:b/>
        </w:rPr>
      </w:pPr>
      <w:r w:rsidRPr="008B22DA">
        <w:rPr>
          <w:b/>
        </w:rPr>
        <w:t>Monitoring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7698"/>
        <w:gridCol w:w="880"/>
        <w:gridCol w:w="998"/>
      </w:tblGrid>
      <w:tr w:rsidR="00B72DCC" w:rsidRP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Pr="00B72DCC" w:rsidRDefault="00B72DCC" w:rsidP="0056438D">
            <w:pPr>
              <w:jc w:val="center"/>
              <w:rPr>
                <w:b/>
              </w:rPr>
            </w:pPr>
            <w:r w:rsidRPr="00B72DCC">
              <w:rPr>
                <w:b/>
              </w:rPr>
              <w:t>Equipment</w:t>
            </w:r>
          </w:p>
        </w:tc>
        <w:tc>
          <w:tcPr>
            <w:tcW w:w="880" w:type="dxa"/>
            <w:vAlign w:val="center"/>
          </w:tcPr>
          <w:p w:rsidR="00B72DCC" w:rsidRPr="00B72DCC" w:rsidRDefault="00B72DCC" w:rsidP="0056438D">
            <w:pPr>
              <w:jc w:val="center"/>
              <w:rPr>
                <w:b/>
              </w:rPr>
            </w:pPr>
            <w:r w:rsidRPr="00B72DCC">
              <w:rPr>
                <w:b/>
              </w:rPr>
              <w:t>Yes</w:t>
            </w:r>
          </w:p>
        </w:tc>
        <w:tc>
          <w:tcPr>
            <w:tcW w:w="998" w:type="dxa"/>
            <w:vAlign w:val="center"/>
          </w:tcPr>
          <w:p w:rsidR="00B72DCC" w:rsidRPr="00B72DCC" w:rsidRDefault="00B72DCC" w:rsidP="0056438D">
            <w:pPr>
              <w:jc w:val="center"/>
              <w:rPr>
                <w:b/>
              </w:rPr>
            </w:pPr>
            <w:r w:rsidRPr="00B72DCC">
              <w:rPr>
                <w:b/>
              </w:rPr>
              <w:t>No</w:t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B72DCC" w:rsidP="0056438D">
            <w:r w:rsidRPr="00865511">
              <w:rPr>
                <w:rFonts w:cs="Arial"/>
              </w:rPr>
              <w:t>Defibrillator (0-400J) capability with pediatric paddles (4.5 cm)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>
              <w:fldChar w:fldCharType="end"/>
            </w:r>
            <w:bookmarkEnd w:id="2"/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B72DCC" w:rsidP="0056438D">
            <w:r w:rsidRPr="00865511">
              <w:rPr>
                <w:rFonts w:cs="Arial"/>
              </w:rPr>
              <w:t>Pediatric monitor electrodes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B72DCC" w:rsidP="0056438D">
            <w:r w:rsidRPr="00865511">
              <w:rPr>
                <w:rFonts w:cs="Arial"/>
              </w:rPr>
              <w:t xml:space="preserve">Pulse </w:t>
            </w:r>
            <w:proofErr w:type="spellStart"/>
            <w:r w:rsidRPr="00865511">
              <w:rPr>
                <w:rFonts w:cs="Arial"/>
              </w:rPr>
              <w:t>oximeter</w:t>
            </w:r>
            <w:proofErr w:type="spellEnd"/>
            <w:r w:rsidRPr="00865511">
              <w:rPr>
                <w:rFonts w:cs="Arial"/>
              </w:rPr>
              <w:t xml:space="preserve"> with sensors sizes (newborn through adult)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B72DCC" w:rsidP="0056438D">
            <w:r w:rsidRPr="00865511">
              <w:rPr>
                <w:rFonts w:cs="Arial"/>
              </w:rPr>
              <w:t xml:space="preserve">Thermometer/rectal probe* 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B72DCC" w:rsidP="0056438D">
            <w:r w:rsidRPr="00865511">
              <w:rPr>
                <w:rFonts w:cs="Arial"/>
              </w:rPr>
              <w:t>Blood Pressure cuffs–neonatal, infant child, adult and thigh cuff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B72DCC" w:rsidP="0056438D">
            <w:r w:rsidRPr="00865511">
              <w:rPr>
                <w:rFonts w:cs="Arial"/>
              </w:rPr>
              <w:t>Method to monitor endotracheal tube and placement†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</w:tbl>
    <w:p w:rsidR="00856DF4" w:rsidRPr="003178F4" w:rsidRDefault="00856DF4" w:rsidP="00856DF4">
      <w:pPr>
        <w:rPr>
          <w:rFonts w:cs="Arial"/>
          <w:sz w:val="20"/>
          <w:szCs w:val="20"/>
        </w:rPr>
      </w:pPr>
      <w:r w:rsidRPr="003178F4">
        <w:rPr>
          <w:rFonts w:cs="Arial"/>
          <w:sz w:val="20"/>
          <w:szCs w:val="20"/>
        </w:rPr>
        <w:t xml:space="preserve">* Suitable for hypothermic and </w:t>
      </w:r>
      <w:proofErr w:type="spellStart"/>
      <w:r w:rsidRPr="003178F4">
        <w:rPr>
          <w:rFonts w:cs="Arial"/>
          <w:sz w:val="20"/>
          <w:szCs w:val="20"/>
        </w:rPr>
        <w:t>hyperthermic</w:t>
      </w:r>
      <w:proofErr w:type="spellEnd"/>
      <w:r w:rsidRPr="003178F4">
        <w:rPr>
          <w:rFonts w:cs="Arial"/>
          <w:sz w:val="20"/>
          <w:szCs w:val="20"/>
        </w:rPr>
        <w:t xml:space="preserve"> measurements with temperature capability from 25ºto 44º.</w:t>
      </w:r>
    </w:p>
    <w:p w:rsidR="00856DF4" w:rsidRPr="003178F4" w:rsidRDefault="00856DF4" w:rsidP="00856DF4">
      <w:pPr>
        <w:rPr>
          <w:rFonts w:cs="Arial"/>
          <w:sz w:val="20"/>
          <w:szCs w:val="20"/>
        </w:rPr>
      </w:pPr>
      <w:r w:rsidRPr="003178F4">
        <w:rPr>
          <w:rFonts w:cs="Arial"/>
          <w:sz w:val="20"/>
          <w:szCs w:val="20"/>
        </w:rPr>
        <w:t xml:space="preserve">† May be satisfied by a disposable ET co² detector, bulb, or feeding tube methods for endotracheal tube placement. </w:t>
      </w:r>
    </w:p>
    <w:p w:rsidR="003178F4" w:rsidRDefault="003178F4" w:rsidP="008B22DA">
      <w:pPr>
        <w:jc w:val="center"/>
        <w:rPr>
          <w:b/>
        </w:rPr>
      </w:pPr>
    </w:p>
    <w:p w:rsidR="008B22DA" w:rsidRPr="008B22DA" w:rsidRDefault="008B22DA" w:rsidP="008B22DA">
      <w:pPr>
        <w:jc w:val="center"/>
        <w:rPr>
          <w:b/>
        </w:rPr>
      </w:pPr>
      <w:r>
        <w:rPr>
          <w:b/>
        </w:rPr>
        <w:t>Vascular Access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7698"/>
        <w:gridCol w:w="880"/>
        <w:gridCol w:w="998"/>
      </w:tblGrid>
      <w:tr w:rsidR="0014020E" w:rsidRP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14020E" w:rsidRPr="00B72DCC" w:rsidRDefault="0014020E" w:rsidP="0056438D">
            <w:pPr>
              <w:jc w:val="center"/>
              <w:rPr>
                <w:b/>
              </w:rPr>
            </w:pPr>
            <w:r w:rsidRPr="00B72DCC">
              <w:rPr>
                <w:b/>
              </w:rPr>
              <w:t>Equipment</w:t>
            </w:r>
          </w:p>
        </w:tc>
        <w:tc>
          <w:tcPr>
            <w:tcW w:w="880" w:type="dxa"/>
            <w:vAlign w:val="center"/>
          </w:tcPr>
          <w:p w:rsidR="0014020E" w:rsidRPr="00B72DCC" w:rsidRDefault="0014020E" w:rsidP="0056438D">
            <w:pPr>
              <w:jc w:val="center"/>
              <w:rPr>
                <w:b/>
              </w:rPr>
            </w:pPr>
            <w:r w:rsidRPr="00B72DCC">
              <w:rPr>
                <w:b/>
              </w:rPr>
              <w:t>Yes</w:t>
            </w:r>
          </w:p>
        </w:tc>
        <w:tc>
          <w:tcPr>
            <w:tcW w:w="998" w:type="dxa"/>
            <w:vAlign w:val="center"/>
          </w:tcPr>
          <w:p w:rsidR="0014020E" w:rsidRPr="00B72DCC" w:rsidRDefault="0014020E" w:rsidP="0056438D">
            <w:pPr>
              <w:jc w:val="center"/>
              <w:rPr>
                <w:b/>
              </w:rPr>
            </w:pPr>
            <w:r w:rsidRPr="00B72DCC">
              <w:rPr>
                <w:b/>
              </w:rPr>
              <w:t>No</w:t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8B22DA" w:rsidP="0056438D">
            <w:r w:rsidRPr="00865511">
              <w:rPr>
                <w:rFonts w:cs="Arial"/>
              </w:rPr>
              <w:t>Butterfly needles (19-25-gauge)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8B22DA" w:rsidP="0056438D">
            <w:r w:rsidRPr="00865511">
              <w:rPr>
                <w:rFonts w:cs="Arial"/>
              </w:rPr>
              <w:t>Catheter-over-needle devices (14 to 24 gauge)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8B22DA" w:rsidP="0056438D">
            <w:r w:rsidRPr="00865511">
              <w:rPr>
                <w:rFonts w:cs="Arial"/>
              </w:rPr>
              <w:t>Infusion device‡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8B22DA" w:rsidP="0056438D">
            <w:r w:rsidRPr="00865511">
              <w:rPr>
                <w:rFonts w:cs="Arial"/>
              </w:rPr>
              <w:t>Tubing for above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8B22DA" w:rsidP="0056438D">
            <w:proofErr w:type="spellStart"/>
            <w:r w:rsidRPr="00865511">
              <w:rPr>
                <w:rFonts w:cs="Arial"/>
              </w:rPr>
              <w:t>Intraosseous</w:t>
            </w:r>
            <w:proofErr w:type="spellEnd"/>
            <w:r w:rsidRPr="00865511">
              <w:rPr>
                <w:rFonts w:cs="Arial"/>
              </w:rPr>
              <w:t xml:space="preserve"> needles (16 and 18 gauge)§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8B22DA" w:rsidP="0056438D">
            <w:r w:rsidRPr="00865511">
              <w:rPr>
                <w:rFonts w:cs="Arial"/>
              </w:rPr>
              <w:t xml:space="preserve">Arm boards – (infant, child) 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8B22DA" w:rsidP="0056438D">
            <w:r w:rsidRPr="00865511">
              <w:rPr>
                <w:rFonts w:cs="Arial"/>
              </w:rPr>
              <w:t xml:space="preserve">Intravenous fluid/blood warmers 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8B22DA" w:rsidP="0056438D">
            <w:r w:rsidRPr="00865511">
              <w:rPr>
                <w:rFonts w:cs="Arial"/>
              </w:rPr>
              <w:t>Umbilical vein catheters (sizes 3.5 Fr and 5 Fr</w:t>
            </w:r>
            <w:proofErr w:type="gramStart"/>
            <w:r w:rsidRPr="00865511">
              <w:rPr>
                <w:rFonts w:cs="Arial"/>
              </w:rPr>
              <w:t>)‼</w:t>
            </w:r>
            <w:proofErr w:type="gramEnd"/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8B22DA" w:rsidP="0056438D">
            <w:proofErr w:type="spellStart"/>
            <w:r w:rsidRPr="00865511">
              <w:rPr>
                <w:rFonts w:cs="Arial"/>
              </w:rPr>
              <w:t>Seldinger</w:t>
            </w:r>
            <w:proofErr w:type="spellEnd"/>
            <w:r w:rsidRPr="00865511">
              <w:rPr>
                <w:rFonts w:cs="Arial"/>
              </w:rPr>
              <w:t xml:space="preserve"> technique vascular access kit (with pediatric sizes 3, 4, 5, Fr catheters) 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</w:tbl>
    <w:p w:rsidR="00856DF4" w:rsidRPr="003178F4" w:rsidRDefault="00856DF4" w:rsidP="00856DF4">
      <w:pPr>
        <w:rPr>
          <w:rFonts w:cs="Arial"/>
          <w:sz w:val="20"/>
          <w:szCs w:val="20"/>
        </w:rPr>
      </w:pPr>
      <w:r w:rsidRPr="003178F4">
        <w:rPr>
          <w:rFonts w:cs="Arial"/>
          <w:sz w:val="20"/>
          <w:szCs w:val="20"/>
        </w:rPr>
        <w:t xml:space="preserve">‡ To regulate rate and volume. </w:t>
      </w:r>
    </w:p>
    <w:p w:rsidR="00856DF4" w:rsidRPr="003178F4" w:rsidRDefault="00856DF4" w:rsidP="00856DF4">
      <w:pPr>
        <w:rPr>
          <w:rFonts w:cs="Arial"/>
          <w:sz w:val="20"/>
          <w:szCs w:val="20"/>
        </w:rPr>
      </w:pPr>
      <w:r w:rsidRPr="003178F4">
        <w:rPr>
          <w:rFonts w:cs="Arial"/>
          <w:sz w:val="20"/>
          <w:szCs w:val="20"/>
        </w:rPr>
        <w:t xml:space="preserve">§ May be satisfied by standard bone marrow aspiration needles, 13- or 15- gauge.  </w:t>
      </w:r>
    </w:p>
    <w:p w:rsidR="003178F4" w:rsidRDefault="00856DF4" w:rsidP="00856DF4">
      <w:pPr>
        <w:rPr>
          <w:rFonts w:cs="Arial"/>
          <w:sz w:val="20"/>
          <w:szCs w:val="20"/>
        </w:rPr>
      </w:pPr>
      <w:r w:rsidRPr="003178F4">
        <w:rPr>
          <w:rFonts w:cs="Arial"/>
          <w:sz w:val="20"/>
          <w:szCs w:val="20"/>
        </w:rPr>
        <w:t xml:space="preserve">‼ </w:t>
      </w:r>
      <w:r>
        <w:rPr>
          <w:rFonts w:cs="Arial"/>
          <w:sz w:val="20"/>
          <w:szCs w:val="20"/>
        </w:rPr>
        <w:t>Available within the hospital</w:t>
      </w:r>
    </w:p>
    <w:p w:rsidR="00856DF4" w:rsidRDefault="00856DF4" w:rsidP="00856DF4">
      <w:pPr>
        <w:rPr>
          <w:b/>
        </w:rPr>
      </w:pPr>
    </w:p>
    <w:p w:rsidR="008B22DA" w:rsidRPr="0014020E" w:rsidRDefault="00856DF4" w:rsidP="0014020E">
      <w:pPr>
        <w:jc w:val="center"/>
        <w:rPr>
          <w:b/>
        </w:rPr>
      </w:pPr>
      <w:r>
        <w:rPr>
          <w:b/>
        </w:rPr>
        <w:br w:type="page"/>
      </w:r>
      <w:r w:rsidR="008B22DA" w:rsidRPr="0014020E">
        <w:rPr>
          <w:b/>
        </w:rPr>
        <w:lastRenderedPageBreak/>
        <w:t>Airway Management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7698"/>
        <w:gridCol w:w="880"/>
        <w:gridCol w:w="998"/>
      </w:tblGrid>
      <w:tr w:rsidR="0014020E" w:rsidRP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14020E" w:rsidRPr="00B72DCC" w:rsidRDefault="0014020E" w:rsidP="0056438D">
            <w:pPr>
              <w:jc w:val="center"/>
              <w:rPr>
                <w:b/>
              </w:rPr>
            </w:pPr>
            <w:r w:rsidRPr="00B72DCC">
              <w:rPr>
                <w:b/>
              </w:rPr>
              <w:t>Equipment</w:t>
            </w:r>
          </w:p>
        </w:tc>
        <w:tc>
          <w:tcPr>
            <w:tcW w:w="880" w:type="dxa"/>
            <w:vAlign w:val="center"/>
          </w:tcPr>
          <w:p w:rsidR="0014020E" w:rsidRPr="00B72DCC" w:rsidRDefault="0014020E" w:rsidP="0056438D">
            <w:pPr>
              <w:jc w:val="center"/>
              <w:rPr>
                <w:b/>
              </w:rPr>
            </w:pPr>
            <w:r w:rsidRPr="00B72DCC">
              <w:rPr>
                <w:b/>
              </w:rPr>
              <w:t>Yes</w:t>
            </w:r>
          </w:p>
        </w:tc>
        <w:tc>
          <w:tcPr>
            <w:tcW w:w="998" w:type="dxa"/>
            <w:vAlign w:val="center"/>
          </w:tcPr>
          <w:p w:rsidR="0014020E" w:rsidRPr="00B72DCC" w:rsidRDefault="0014020E" w:rsidP="0056438D">
            <w:pPr>
              <w:jc w:val="center"/>
              <w:rPr>
                <w:b/>
              </w:rPr>
            </w:pPr>
            <w:r w:rsidRPr="00B72DCC">
              <w:rPr>
                <w:b/>
              </w:rPr>
              <w:t>No</w:t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8B22DA" w:rsidP="0056438D">
            <w:r w:rsidRPr="00865511">
              <w:rPr>
                <w:rFonts w:cs="Arial"/>
              </w:rPr>
              <w:t>Clear oxygen masks (preterm, infant, child, and adult sizes)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8B22DA" w:rsidP="0056438D">
            <w:r w:rsidRPr="00865511">
              <w:rPr>
                <w:rFonts w:cs="Arial"/>
              </w:rPr>
              <w:t>Non-breathing masks (infant, child, and adult sizes)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8B22DA" w:rsidP="0056438D">
            <w:r w:rsidRPr="00865511">
              <w:rPr>
                <w:rFonts w:cs="Arial"/>
              </w:rPr>
              <w:t>Oral airways (sizes 00-5)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8B22DA" w:rsidP="0056438D">
            <w:r w:rsidRPr="00865511">
              <w:rPr>
                <w:rFonts w:cs="Arial"/>
              </w:rPr>
              <w:t xml:space="preserve">Nasopharyngeal airways (12 to 30 </w:t>
            </w:r>
            <w:proofErr w:type="spellStart"/>
            <w:r w:rsidRPr="00865511">
              <w:rPr>
                <w:rFonts w:cs="Arial"/>
              </w:rPr>
              <w:t>fr</w:t>
            </w:r>
            <w:proofErr w:type="spellEnd"/>
            <w:r w:rsidRPr="00865511">
              <w:rPr>
                <w:rFonts w:cs="Arial"/>
              </w:rPr>
              <w:t xml:space="preserve">) 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8B22DA" w:rsidP="0056438D">
            <w:r w:rsidRPr="00865511">
              <w:rPr>
                <w:rFonts w:cs="Arial"/>
              </w:rPr>
              <w:t xml:space="preserve">Bag-valve-mask Resuscitator, self-inflating (450and 1000 mL sizes) 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8B22DA" w:rsidP="0056438D">
            <w:r w:rsidRPr="00865511">
              <w:rPr>
                <w:rFonts w:cs="Arial"/>
              </w:rPr>
              <w:t xml:space="preserve">Nasal </w:t>
            </w:r>
            <w:proofErr w:type="spellStart"/>
            <w:r w:rsidRPr="00865511">
              <w:rPr>
                <w:rFonts w:cs="Arial"/>
              </w:rPr>
              <w:t>cannulae</w:t>
            </w:r>
            <w:proofErr w:type="spellEnd"/>
            <w:r w:rsidRPr="00865511">
              <w:rPr>
                <w:rFonts w:cs="Arial"/>
              </w:rPr>
              <w:t xml:space="preserve"> (infant, child, and adult sizes) 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8B22DA" w:rsidP="0056438D">
            <w:r w:rsidRPr="00865511">
              <w:rPr>
                <w:rFonts w:cs="Arial"/>
              </w:rPr>
              <w:t xml:space="preserve">Endotracheal tubes: </w:t>
            </w:r>
            <w:proofErr w:type="spellStart"/>
            <w:r w:rsidRPr="00865511">
              <w:rPr>
                <w:rFonts w:cs="Arial"/>
              </w:rPr>
              <w:t>uncuffed</w:t>
            </w:r>
            <w:proofErr w:type="spellEnd"/>
            <w:r w:rsidRPr="00865511">
              <w:rPr>
                <w:rFonts w:cs="Arial"/>
              </w:rPr>
              <w:t xml:space="preserve"> (sizes 2.5 to 8.5) and cuffed (sizes 5.5 to 9) 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8B22DA" w:rsidP="0056438D">
            <w:proofErr w:type="spellStart"/>
            <w:r w:rsidRPr="00865511">
              <w:rPr>
                <w:rFonts w:cs="Arial"/>
              </w:rPr>
              <w:t>Stylets</w:t>
            </w:r>
            <w:proofErr w:type="spellEnd"/>
            <w:r w:rsidRPr="00865511">
              <w:rPr>
                <w:rFonts w:cs="Arial"/>
              </w:rPr>
              <w:t xml:space="preserve"> (pediatric)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8B22DA" w:rsidP="0056438D">
            <w:r w:rsidRPr="00865511">
              <w:rPr>
                <w:rFonts w:cs="Arial"/>
              </w:rPr>
              <w:t>Laryngoscope handle (pediatric)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8B22DA" w:rsidP="0056438D">
            <w:r w:rsidRPr="00865511">
              <w:rPr>
                <w:rFonts w:cs="Arial"/>
              </w:rPr>
              <w:t>Laryngoscope Blades, curved (sizes 2 and 3) and straight (1 to 3)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8B22DA" w:rsidP="0056438D">
            <w:proofErr w:type="spellStart"/>
            <w:r w:rsidRPr="00865511">
              <w:rPr>
                <w:rFonts w:cs="Arial"/>
              </w:rPr>
              <w:t>Magil</w:t>
            </w:r>
            <w:proofErr w:type="spellEnd"/>
            <w:r w:rsidRPr="00865511">
              <w:rPr>
                <w:rFonts w:cs="Arial"/>
              </w:rPr>
              <w:t xml:space="preserve"> forceps (pediatric) 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8B22DA" w:rsidP="0056438D">
            <w:r w:rsidRPr="00865511">
              <w:rPr>
                <w:rFonts w:cs="Arial"/>
              </w:rPr>
              <w:t xml:space="preserve">Nasogastric tubes (sizes 6 to 14 Fr) 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8B22DA" w:rsidP="0056438D">
            <w:r w:rsidRPr="00865511">
              <w:rPr>
                <w:rFonts w:cs="Arial"/>
              </w:rPr>
              <w:t xml:space="preserve">Suction catheters: flexible (sizes 5 to 16 Fr) and </w:t>
            </w:r>
            <w:proofErr w:type="spellStart"/>
            <w:r w:rsidRPr="00865511">
              <w:rPr>
                <w:rFonts w:cs="Arial"/>
              </w:rPr>
              <w:t>Yankauer</w:t>
            </w:r>
            <w:proofErr w:type="spellEnd"/>
            <w:r w:rsidRPr="00865511">
              <w:rPr>
                <w:rFonts w:cs="Arial"/>
              </w:rPr>
              <w:t xml:space="preserve"> suction tip 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B72DCC" w:rsidRDefault="008B22DA" w:rsidP="0056438D">
            <w:r w:rsidRPr="00865511">
              <w:rPr>
                <w:rFonts w:cs="Arial"/>
              </w:rPr>
              <w:t>Chest tubes (sizes 8to 40 Fr)</w:t>
            </w:r>
          </w:p>
        </w:tc>
        <w:tc>
          <w:tcPr>
            <w:tcW w:w="880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  <w:tc>
          <w:tcPr>
            <w:tcW w:w="998" w:type="dxa"/>
            <w:vAlign w:val="center"/>
          </w:tcPr>
          <w:p w:rsidR="00B72DCC" w:rsidRDefault="00B72DCC" w:rsidP="00B72DCC">
            <w:pPr>
              <w:jc w:val="center"/>
            </w:pPr>
            <w:r w:rsidRPr="00050C5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50">
              <w:instrText xml:space="preserve"> FORMCHECKBOX </w:instrText>
            </w:r>
            <w:r w:rsidRPr="00050C50">
              <w:fldChar w:fldCharType="end"/>
            </w:r>
          </w:p>
        </w:tc>
      </w:tr>
      <w:tr w:rsidR="008B22DA">
        <w:trPr>
          <w:trHeight w:val="432"/>
          <w:jc w:val="center"/>
        </w:trPr>
        <w:tc>
          <w:tcPr>
            <w:tcW w:w="7698" w:type="dxa"/>
            <w:vAlign w:val="center"/>
          </w:tcPr>
          <w:p w:rsidR="008B22DA" w:rsidRDefault="008B22DA" w:rsidP="0056438D">
            <w:r w:rsidRPr="00865511">
              <w:rPr>
                <w:rFonts w:cs="Arial"/>
              </w:rPr>
              <w:t>Tracheostomy tubes (sizes 00 to 6 )¶</w:t>
            </w:r>
          </w:p>
        </w:tc>
        <w:tc>
          <w:tcPr>
            <w:tcW w:w="880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</w:tr>
    </w:tbl>
    <w:p w:rsidR="00856DF4" w:rsidRPr="003178F4" w:rsidRDefault="00856DF4" w:rsidP="00856DF4">
      <w:pPr>
        <w:rPr>
          <w:rFonts w:cs="Arial"/>
          <w:sz w:val="20"/>
          <w:szCs w:val="20"/>
        </w:rPr>
      </w:pPr>
      <w:r w:rsidRPr="003178F4">
        <w:rPr>
          <w:rFonts w:cs="Arial"/>
          <w:sz w:val="20"/>
          <w:szCs w:val="20"/>
        </w:rPr>
        <w:t>¶ Ensure availability of pedia</w:t>
      </w:r>
      <w:r>
        <w:rPr>
          <w:rFonts w:cs="Arial"/>
          <w:sz w:val="20"/>
          <w:szCs w:val="20"/>
        </w:rPr>
        <w:t>tric sizes within the hospital</w:t>
      </w:r>
    </w:p>
    <w:p w:rsidR="003178F4" w:rsidRDefault="003178F4" w:rsidP="0014020E">
      <w:pPr>
        <w:jc w:val="center"/>
        <w:rPr>
          <w:b/>
        </w:rPr>
      </w:pPr>
    </w:p>
    <w:p w:rsidR="008B22DA" w:rsidRPr="0014020E" w:rsidRDefault="008B22DA" w:rsidP="0014020E">
      <w:pPr>
        <w:jc w:val="center"/>
        <w:rPr>
          <w:b/>
        </w:rPr>
      </w:pPr>
      <w:r w:rsidRPr="0014020E">
        <w:rPr>
          <w:b/>
        </w:rPr>
        <w:t>Resuscitation Medications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7698"/>
        <w:gridCol w:w="880"/>
        <w:gridCol w:w="998"/>
      </w:tblGrid>
      <w:tr w:rsidR="0014020E" w:rsidRP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14020E" w:rsidRPr="00B72DCC" w:rsidRDefault="0014020E" w:rsidP="0056438D">
            <w:pPr>
              <w:jc w:val="center"/>
              <w:rPr>
                <w:b/>
              </w:rPr>
            </w:pPr>
            <w:r w:rsidRPr="00B72DCC">
              <w:rPr>
                <w:b/>
              </w:rPr>
              <w:t>Equipment</w:t>
            </w:r>
          </w:p>
        </w:tc>
        <w:tc>
          <w:tcPr>
            <w:tcW w:w="880" w:type="dxa"/>
            <w:vAlign w:val="center"/>
          </w:tcPr>
          <w:p w:rsidR="0014020E" w:rsidRPr="00B72DCC" w:rsidRDefault="0014020E" w:rsidP="0056438D">
            <w:pPr>
              <w:jc w:val="center"/>
              <w:rPr>
                <w:b/>
              </w:rPr>
            </w:pPr>
            <w:r w:rsidRPr="00B72DCC">
              <w:rPr>
                <w:b/>
              </w:rPr>
              <w:t>Yes</w:t>
            </w:r>
          </w:p>
        </w:tc>
        <w:tc>
          <w:tcPr>
            <w:tcW w:w="998" w:type="dxa"/>
            <w:vAlign w:val="center"/>
          </w:tcPr>
          <w:p w:rsidR="0014020E" w:rsidRPr="00B72DCC" w:rsidRDefault="0014020E" w:rsidP="0056438D">
            <w:pPr>
              <w:jc w:val="center"/>
              <w:rPr>
                <w:b/>
              </w:rPr>
            </w:pPr>
            <w:r w:rsidRPr="00B72DCC">
              <w:rPr>
                <w:b/>
              </w:rPr>
              <w:t>No</w:t>
            </w:r>
          </w:p>
        </w:tc>
      </w:tr>
      <w:tr w:rsidR="008B22DA">
        <w:trPr>
          <w:trHeight w:val="432"/>
          <w:jc w:val="center"/>
        </w:trPr>
        <w:tc>
          <w:tcPr>
            <w:tcW w:w="7698" w:type="dxa"/>
            <w:vAlign w:val="center"/>
          </w:tcPr>
          <w:p w:rsidR="008B22DA" w:rsidRDefault="008B22DA" w:rsidP="00B72DCC">
            <w:r w:rsidRPr="00865511">
              <w:rPr>
                <w:rFonts w:cs="Arial"/>
              </w:rPr>
              <w:t xml:space="preserve">Medication chart, tape, or other system to ensure ready access to information on proper per kilogram doses for resuscitation drugs and equipment sizes# </w:t>
            </w:r>
          </w:p>
        </w:tc>
        <w:tc>
          <w:tcPr>
            <w:tcW w:w="880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</w:tr>
    </w:tbl>
    <w:p w:rsidR="00856DF4" w:rsidRPr="003178F4" w:rsidRDefault="00856DF4" w:rsidP="00856DF4">
      <w:pPr>
        <w:rPr>
          <w:rFonts w:cs="Arial"/>
          <w:sz w:val="20"/>
          <w:szCs w:val="20"/>
        </w:rPr>
      </w:pPr>
      <w:r w:rsidRPr="003178F4">
        <w:rPr>
          <w:rFonts w:cs="Arial"/>
          <w:sz w:val="20"/>
          <w:szCs w:val="20"/>
        </w:rPr>
        <w:t xml:space="preserve"># System for estimating medication doses and supplies may use the length based method with color codes, or other predetermined weight (kilogram)/dose method.  </w:t>
      </w:r>
    </w:p>
    <w:p w:rsidR="003178F4" w:rsidRDefault="003178F4" w:rsidP="0014020E">
      <w:pPr>
        <w:jc w:val="center"/>
        <w:rPr>
          <w:b/>
        </w:rPr>
      </w:pPr>
    </w:p>
    <w:p w:rsidR="008B22DA" w:rsidRPr="0014020E" w:rsidRDefault="008B22DA" w:rsidP="0014020E">
      <w:pPr>
        <w:jc w:val="center"/>
        <w:rPr>
          <w:b/>
        </w:rPr>
      </w:pPr>
      <w:r w:rsidRPr="0014020E">
        <w:rPr>
          <w:b/>
        </w:rPr>
        <w:t>Miscellaneous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7698"/>
        <w:gridCol w:w="880"/>
        <w:gridCol w:w="998"/>
      </w:tblGrid>
      <w:tr w:rsidR="0014020E" w:rsidRP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14020E" w:rsidRPr="00B72DCC" w:rsidRDefault="0014020E" w:rsidP="0056438D">
            <w:pPr>
              <w:jc w:val="center"/>
              <w:rPr>
                <w:b/>
              </w:rPr>
            </w:pPr>
            <w:r w:rsidRPr="00B72DCC">
              <w:rPr>
                <w:b/>
              </w:rPr>
              <w:t>Equipment</w:t>
            </w:r>
          </w:p>
        </w:tc>
        <w:tc>
          <w:tcPr>
            <w:tcW w:w="880" w:type="dxa"/>
            <w:vAlign w:val="center"/>
          </w:tcPr>
          <w:p w:rsidR="0014020E" w:rsidRPr="00B72DCC" w:rsidRDefault="0014020E" w:rsidP="0056438D">
            <w:pPr>
              <w:jc w:val="center"/>
              <w:rPr>
                <w:b/>
              </w:rPr>
            </w:pPr>
            <w:r w:rsidRPr="00B72DCC">
              <w:rPr>
                <w:b/>
              </w:rPr>
              <w:t>Yes</w:t>
            </w:r>
          </w:p>
        </w:tc>
        <w:tc>
          <w:tcPr>
            <w:tcW w:w="998" w:type="dxa"/>
            <w:vAlign w:val="center"/>
          </w:tcPr>
          <w:p w:rsidR="0014020E" w:rsidRPr="00B72DCC" w:rsidRDefault="0014020E" w:rsidP="0056438D">
            <w:pPr>
              <w:jc w:val="center"/>
              <w:rPr>
                <w:b/>
              </w:rPr>
            </w:pPr>
            <w:r w:rsidRPr="00B72DCC">
              <w:rPr>
                <w:b/>
              </w:rPr>
              <w:t>No</w:t>
            </w:r>
          </w:p>
        </w:tc>
      </w:tr>
      <w:tr w:rsidR="008B22DA">
        <w:trPr>
          <w:trHeight w:val="432"/>
          <w:jc w:val="center"/>
        </w:trPr>
        <w:tc>
          <w:tcPr>
            <w:tcW w:w="7698" w:type="dxa"/>
            <w:vAlign w:val="center"/>
          </w:tcPr>
          <w:p w:rsidR="008B22DA" w:rsidRDefault="008B22DA" w:rsidP="008B22DA">
            <w:r w:rsidRPr="00865511">
              <w:rPr>
                <w:rFonts w:cs="Arial"/>
              </w:rPr>
              <w:t>Infant and standard scales</w:t>
            </w:r>
          </w:p>
        </w:tc>
        <w:tc>
          <w:tcPr>
            <w:tcW w:w="880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</w:tr>
      <w:tr w:rsidR="008B22DA">
        <w:trPr>
          <w:trHeight w:val="432"/>
          <w:jc w:val="center"/>
        </w:trPr>
        <w:tc>
          <w:tcPr>
            <w:tcW w:w="7698" w:type="dxa"/>
            <w:vAlign w:val="center"/>
          </w:tcPr>
          <w:p w:rsidR="008B22DA" w:rsidRDefault="008B22DA" w:rsidP="00B72DCC">
            <w:r w:rsidRPr="00865511">
              <w:rPr>
                <w:rFonts w:cs="Arial"/>
              </w:rPr>
              <w:t>Infant formula and oral rehydrating solutions</w:t>
            </w:r>
          </w:p>
        </w:tc>
        <w:tc>
          <w:tcPr>
            <w:tcW w:w="880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</w:tr>
      <w:tr w:rsidR="008B22DA">
        <w:trPr>
          <w:trHeight w:val="432"/>
          <w:jc w:val="center"/>
        </w:trPr>
        <w:tc>
          <w:tcPr>
            <w:tcW w:w="7698" w:type="dxa"/>
            <w:vAlign w:val="center"/>
          </w:tcPr>
          <w:p w:rsidR="008B22DA" w:rsidRDefault="008B22DA" w:rsidP="00B72DCC">
            <w:r w:rsidRPr="00865511">
              <w:rPr>
                <w:rFonts w:cs="Arial"/>
              </w:rPr>
              <w:t>Heating source (infrared lamps or overhead warmer</w:t>
            </w:r>
            <w:r>
              <w:rPr>
                <w:rFonts w:cs="Arial"/>
              </w:rPr>
              <w:t>)</w:t>
            </w:r>
          </w:p>
        </w:tc>
        <w:tc>
          <w:tcPr>
            <w:tcW w:w="880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</w:tr>
      <w:tr w:rsidR="008B22DA">
        <w:trPr>
          <w:trHeight w:val="432"/>
          <w:jc w:val="center"/>
        </w:trPr>
        <w:tc>
          <w:tcPr>
            <w:tcW w:w="7698" w:type="dxa"/>
            <w:vAlign w:val="center"/>
          </w:tcPr>
          <w:p w:rsidR="008B22DA" w:rsidRDefault="008B22DA" w:rsidP="00B72DCC">
            <w:r w:rsidRPr="00865511">
              <w:rPr>
                <w:rFonts w:cs="Arial"/>
              </w:rPr>
              <w:t>Pediatric restraining devices</w:t>
            </w:r>
          </w:p>
        </w:tc>
        <w:tc>
          <w:tcPr>
            <w:tcW w:w="880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</w:tr>
      <w:tr w:rsidR="008B22DA">
        <w:trPr>
          <w:trHeight w:val="432"/>
          <w:jc w:val="center"/>
        </w:trPr>
        <w:tc>
          <w:tcPr>
            <w:tcW w:w="7698" w:type="dxa"/>
            <w:vAlign w:val="center"/>
          </w:tcPr>
          <w:p w:rsidR="008B22DA" w:rsidRDefault="008B22DA" w:rsidP="00B72DCC">
            <w:r w:rsidRPr="00865511">
              <w:rPr>
                <w:rFonts w:cs="Arial"/>
              </w:rPr>
              <w:t xml:space="preserve">Resuscitation board </w:t>
            </w:r>
          </w:p>
        </w:tc>
        <w:tc>
          <w:tcPr>
            <w:tcW w:w="880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</w:tr>
    </w:tbl>
    <w:p w:rsidR="008B22DA" w:rsidRPr="0014020E" w:rsidRDefault="008B22DA" w:rsidP="0014020E">
      <w:pPr>
        <w:jc w:val="center"/>
        <w:rPr>
          <w:b/>
        </w:rPr>
      </w:pPr>
      <w:r w:rsidRPr="0014020E">
        <w:rPr>
          <w:b/>
        </w:rPr>
        <w:lastRenderedPageBreak/>
        <w:t>Specialized pediatric trays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7698"/>
        <w:gridCol w:w="880"/>
        <w:gridCol w:w="998"/>
      </w:tblGrid>
      <w:tr w:rsidR="0014020E" w:rsidRP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14020E" w:rsidRPr="00B72DCC" w:rsidRDefault="0014020E" w:rsidP="0056438D">
            <w:pPr>
              <w:jc w:val="center"/>
              <w:rPr>
                <w:b/>
              </w:rPr>
            </w:pPr>
            <w:r w:rsidRPr="00B72DCC">
              <w:rPr>
                <w:b/>
              </w:rPr>
              <w:t>Equipment</w:t>
            </w:r>
          </w:p>
        </w:tc>
        <w:tc>
          <w:tcPr>
            <w:tcW w:w="880" w:type="dxa"/>
            <w:vAlign w:val="center"/>
          </w:tcPr>
          <w:p w:rsidR="0014020E" w:rsidRPr="00B72DCC" w:rsidRDefault="0014020E" w:rsidP="0056438D">
            <w:pPr>
              <w:jc w:val="center"/>
              <w:rPr>
                <w:b/>
              </w:rPr>
            </w:pPr>
            <w:r w:rsidRPr="00B72DCC">
              <w:rPr>
                <w:b/>
              </w:rPr>
              <w:t>Yes</w:t>
            </w:r>
          </w:p>
        </w:tc>
        <w:tc>
          <w:tcPr>
            <w:tcW w:w="998" w:type="dxa"/>
            <w:vAlign w:val="center"/>
          </w:tcPr>
          <w:p w:rsidR="0014020E" w:rsidRPr="00B72DCC" w:rsidRDefault="0014020E" w:rsidP="0056438D">
            <w:pPr>
              <w:jc w:val="center"/>
              <w:rPr>
                <w:b/>
              </w:rPr>
            </w:pPr>
            <w:r w:rsidRPr="00B72DCC">
              <w:rPr>
                <w:b/>
              </w:rPr>
              <w:t>No</w:t>
            </w:r>
          </w:p>
        </w:tc>
      </w:tr>
      <w:tr w:rsidR="008B22DA">
        <w:trPr>
          <w:trHeight w:val="432"/>
          <w:jc w:val="center"/>
        </w:trPr>
        <w:tc>
          <w:tcPr>
            <w:tcW w:w="7698" w:type="dxa"/>
            <w:vAlign w:val="center"/>
          </w:tcPr>
          <w:p w:rsidR="008B22DA" w:rsidRDefault="008B22DA" w:rsidP="008B22DA">
            <w:r w:rsidRPr="00865511">
              <w:rPr>
                <w:rFonts w:cs="Arial"/>
              </w:rPr>
              <w:t xml:space="preserve">Lumbar puncture (spinal needle sizes 20-, 22-, and 25- gauge) </w:t>
            </w:r>
          </w:p>
        </w:tc>
        <w:tc>
          <w:tcPr>
            <w:tcW w:w="880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</w:tr>
      <w:tr w:rsidR="008B22DA">
        <w:trPr>
          <w:trHeight w:val="432"/>
          <w:jc w:val="center"/>
        </w:trPr>
        <w:tc>
          <w:tcPr>
            <w:tcW w:w="7698" w:type="dxa"/>
            <w:vAlign w:val="center"/>
          </w:tcPr>
          <w:p w:rsidR="008B22DA" w:rsidRDefault="008B22DA" w:rsidP="00B72DCC">
            <w:r w:rsidRPr="00865511">
              <w:rPr>
                <w:rFonts w:cs="Arial"/>
              </w:rPr>
              <w:t>Tube thoracotomy with water seal drainage capability</w:t>
            </w:r>
          </w:p>
        </w:tc>
        <w:tc>
          <w:tcPr>
            <w:tcW w:w="880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</w:tr>
      <w:tr w:rsidR="008B22DA">
        <w:trPr>
          <w:trHeight w:val="432"/>
          <w:jc w:val="center"/>
        </w:trPr>
        <w:tc>
          <w:tcPr>
            <w:tcW w:w="7698" w:type="dxa"/>
            <w:vAlign w:val="center"/>
          </w:tcPr>
          <w:p w:rsidR="008B22DA" w:rsidRDefault="008B22DA" w:rsidP="00B72DCC">
            <w:r w:rsidRPr="00865511">
              <w:rPr>
                <w:rFonts w:cs="Arial"/>
              </w:rPr>
              <w:t xml:space="preserve">Urinary catheterization with pediatric Foley catheters </w:t>
            </w:r>
          </w:p>
        </w:tc>
        <w:tc>
          <w:tcPr>
            <w:tcW w:w="880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</w:tr>
      <w:tr w:rsidR="008B22DA">
        <w:trPr>
          <w:trHeight w:val="432"/>
          <w:jc w:val="center"/>
        </w:trPr>
        <w:tc>
          <w:tcPr>
            <w:tcW w:w="7698" w:type="dxa"/>
            <w:vAlign w:val="center"/>
          </w:tcPr>
          <w:p w:rsidR="008B22DA" w:rsidRDefault="008B22DA" w:rsidP="00B72DCC">
            <w:r w:rsidRPr="00865511">
              <w:rPr>
                <w:rFonts w:cs="Arial"/>
              </w:rPr>
              <w:t>Obstetric pack</w:t>
            </w:r>
          </w:p>
        </w:tc>
        <w:tc>
          <w:tcPr>
            <w:tcW w:w="880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</w:tr>
      <w:tr w:rsidR="008B22DA">
        <w:trPr>
          <w:trHeight w:val="432"/>
          <w:jc w:val="center"/>
        </w:trPr>
        <w:tc>
          <w:tcPr>
            <w:tcW w:w="7698" w:type="dxa"/>
            <w:vAlign w:val="center"/>
          </w:tcPr>
          <w:p w:rsidR="008B22DA" w:rsidRDefault="008B22DA" w:rsidP="00B72DCC">
            <w:r w:rsidRPr="00865511">
              <w:rPr>
                <w:rFonts w:cs="Arial"/>
              </w:rPr>
              <w:t xml:space="preserve">Newborn kit – umbilical vessel </w:t>
            </w:r>
            <w:proofErr w:type="spellStart"/>
            <w:r w:rsidRPr="00865511">
              <w:rPr>
                <w:rFonts w:cs="Arial"/>
              </w:rPr>
              <w:t>cannulation</w:t>
            </w:r>
            <w:proofErr w:type="spellEnd"/>
            <w:r w:rsidRPr="00865511">
              <w:rPr>
                <w:rFonts w:cs="Arial"/>
              </w:rPr>
              <w:t xml:space="preserve"> supplies, meconium aspirator</w:t>
            </w:r>
          </w:p>
        </w:tc>
        <w:tc>
          <w:tcPr>
            <w:tcW w:w="880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</w:tr>
      <w:tr w:rsidR="008B22DA">
        <w:trPr>
          <w:trHeight w:val="432"/>
          <w:jc w:val="center"/>
        </w:trPr>
        <w:tc>
          <w:tcPr>
            <w:tcW w:w="7698" w:type="dxa"/>
            <w:vAlign w:val="center"/>
          </w:tcPr>
          <w:p w:rsidR="008B22DA" w:rsidRDefault="008B22DA" w:rsidP="00B72DCC">
            <w:r w:rsidRPr="00865511">
              <w:rPr>
                <w:rFonts w:cs="Arial"/>
              </w:rPr>
              <w:t xml:space="preserve">Venous </w:t>
            </w:r>
            <w:proofErr w:type="spellStart"/>
            <w:r w:rsidRPr="00865511">
              <w:rPr>
                <w:rFonts w:cs="Arial"/>
              </w:rPr>
              <w:t>cutdown</w:t>
            </w:r>
            <w:proofErr w:type="spellEnd"/>
          </w:p>
        </w:tc>
        <w:tc>
          <w:tcPr>
            <w:tcW w:w="880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</w:tr>
      <w:tr w:rsidR="008B22DA">
        <w:trPr>
          <w:trHeight w:val="432"/>
          <w:jc w:val="center"/>
        </w:trPr>
        <w:tc>
          <w:tcPr>
            <w:tcW w:w="7698" w:type="dxa"/>
            <w:vAlign w:val="center"/>
          </w:tcPr>
          <w:p w:rsidR="008B22DA" w:rsidRDefault="008B22DA" w:rsidP="00B72DCC">
            <w:r w:rsidRPr="00865511">
              <w:rPr>
                <w:rFonts w:cs="Arial"/>
              </w:rPr>
              <w:t xml:space="preserve">Surgical airway kit‡‡ </w:t>
            </w:r>
          </w:p>
        </w:tc>
        <w:tc>
          <w:tcPr>
            <w:tcW w:w="880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</w:tr>
    </w:tbl>
    <w:p w:rsidR="00856DF4" w:rsidRPr="003178F4" w:rsidRDefault="00856DF4" w:rsidP="00856DF4">
      <w:pPr>
        <w:rPr>
          <w:rFonts w:cs="Arial"/>
          <w:sz w:val="20"/>
          <w:szCs w:val="20"/>
        </w:rPr>
      </w:pPr>
      <w:r w:rsidRPr="003178F4">
        <w:rPr>
          <w:rFonts w:cs="Arial"/>
          <w:sz w:val="20"/>
          <w:szCs w:val="20"/>
        </w:rPr>
        <w:t xml:space="preserve">‡‡ May include any of the following items: tracheostomy tray, </w:t>
      </w:r>
      <w:proofErr w:type="spellStart"/>
      <w:r w:rsidRPr="003178F4">
        <w:rPr>
          <w:rFonts w:cs="Arial"/>
          <w:sz w:val="20"/>
          <w:szCs w:val="20"/>
        </w:rPr>
        <w:t>cricothyrotomy</w:t>
      </w:r>
      <w:proofErr w:type="spellEnd"/>
      <w:r w:rsidRPr="003178F4">
        <w:rPr>
          <w:rFonts w:cs="Arial"/>
          <w:sz w:val="20"/>
          <w:szCs w:val="20"/>
        </w:rPr>
        <w:t xml:space="preserve"> tray, ETJV (needle jet).  </w:t>
      </w:r>
    </w:p>
    <w:p w:rsidR="003178F4" w:rsidRDefault="003178F4" w:rsidP="0014020E">
      <w:pPr>
        <w:jc w:val="center"/>
        <w:rPr>
          <w:b/>
        </w:rPr>
      </w:pPr>
    </w:p>
    <w:p w:rsidR="008B22DA" w:rsidRPr="0014020E" w:rsidRDefault="0014020E" w:rsidP="0014020E">
      <w:pPr>
        <w:jc w:val="center"/>
        <w:rPr>
          <w:b/>
        </w:rPr>
      </w:pPr>
      <w:r w:rsidRPr="0014020E">
        <w:rPr>
          <w:b/>
        </w:rPr>
        <w:t>Fracture management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7698"/>
        <w:gridCol w:w="880"/>
        <w:gridCol w:w="998"/>
      </w:tblGrid>
      <w:tr w:rsidR="0014020E" w:rsidRPr="00B72DCC">
        <w:trPr>
          <w:trHeight w:val="432"/>
          <w:jc w:val="center"/>
        </w:trPr>
        <w:tc>
          <w:tcPr>
            <w:tcW w:w="7698" w:type="dxa"/>
            <w:vAlign w:val="center"/>
          </w:tcPr>
          <w:p w:rsidR="0014020E" w:rsidRPr="00B72DCC" w:rsidRDefault="0014020E" w:rsidP="0056438D">
            <w:pPr>
              <w:jc w:val="center"/>
              <w:rPr>
                <w:b/>
              </w:rPr>
            </w:pPr>
            <w:r w:rsidRPr="00B72DCC">
              <w:rPr>
                <w:b/>
              </w:rPr>
              <w:t>Equipment</w:t>
            </w:r>
          </w:p>
        </w:tc>
        <w:tc>
          <w:tcPr>
            <w:tcW w:w="880" w:type="dxa"/>
            <w:vAlign w:val="center"/>
          </w:tcPr>
          <w:p w:rsidR="0014020E" w:rsidRPr="00B72DCC" w:rsidRDefault="0014020E" w:rsidP="0056438D">
            <w:pPr>
              <w:jc w:val="center"/>
              <w:rPr>
                <w:b/>
              </w:rPr>
            </w:pPr>
            <w:r w:rsidRPr="00B72DCC">
              <w:rPr>
                <w:b/>
              </w:rPr>
              <w:t>Yes</w:t>
            </w:r>
          </w:p>
        </w:tc>
        <w:tc>
          <w:tcPr>
            <w:tcW w:w="998" w:type="dxa"/>
            <w:vAlign w:val="center"/>
          </w:tcPr>
          <w:p w:rsidR="0014020E" w:rsidRPr="00B72DCC" w:rsidRDefault="0014020E" w:rsidP="0056438D">
            <w:pPr>
              <w:jc w:val="center"/>
              <w:rPr>
                <w:b/>
              </w:rPr>
            </w:pPr>
            <w:r w:rsidRPr="00B72DCC">
              <w:rPr>
                <w:b/>
              </w:rPr>
              <w:t>No</w:t>
            </w:r>
          </w:p>
        </w:tc>
      </w:tr>
      <w:tr w:rsidR="008B22DA">
        <w:trPr>
          <w:trHeight w:val="432"/>
          <w:jc w:val="center"/>
        </w:trPr>
        <w:tc>
          <w:tcPr>
            <w:tcW w:w="7698" w:type="dxa"/>
            <w:vAlign w:val="center"/>
          </w:tcPr>
          <w:p w:rsidR="008B22DA" w:rsidRDefault="0014020E" w:rsidP="0014020E">
            <w:r w:rsidRPr="00865511">
              <w:rPr>
                <w:rFonts w:cs="Arial"/>
              </w:rPr>
              <w:t xml:space="preserve">Cervical immobilization equipment (sizes child to adult)§§ </w:t>
            </w:r>
          </w:p>
        </w:tc>
        <w:tc>
          <w:tcPr>
            <w:tcW w:w="880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</w:tr>
      <w:tr w:rsidR="008B22DA">
        <w:trPr>
          <w:trHeight w:val="432"/>
          <w:jc w:val="center"/>
        </w:trPr>
        <w:tc>
          <w:tcPr>
            <w:tcW w:w="7698" w:type="dxa"/>
            <w:vAlign w:val="center"/>
          </w:tcPr>
          <w:p w:rsidR="008B22DA" w:rsidRDefault="0014020E" w:rsidP="00B72DCC">
            <w:r w:rsidRPr="00865511">
              <w:rPr>
                <w:rFonts w:cs="Arial"/>
              </w:rPr>
              <w:t>Extremity splints</w:t>
            </w:r>
          </w:p>
        </w:tc>
        <w:tc>
          <w:tcPr>
            <w:tcW w:w="880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</w:tr>
      <w:tr w:rsidR="008B22DA">
        <w:trPr>
          <w:trHeight w:val="432"/>
          <w:jc w:val="center"/>
        </w:trPr>
        <w:tc>
          <w:tcPr>
            <w:tcW w:w="7698" w:type="dxa"/>
            <w:vAlign w:val="center"/>
          </w:tcPr>
          <w:p w:rsidR="008B22DA" w:rsidRDefault="0014020E" w:rsidP="00B72DCC">
            <w:r w:rsidRPr="00865511">
              <w:rPr>
                <w:rFonts w:cs="Arial"/>
              </w:rPr>
              <w:t>Femur splints (child and adult sizes)</w:t>
            </w:r>
          </w:p>
        </w:tc>
        <w:tc>
          <w:tcPr>
            <w:tcW w:w="880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2DA" w:rsidRPr="00050C50" w:rsidRDefault="008B22DA" w:rsidP="00B72DCC">
            <w:pPr>
              <w:jc w:val="center"/>
            </w:pPr>
          </w:p>
        </w:tc>
      </w:tr>
    </w:tbl>
    <w:p w:rsidR="003178F4" w:rsidRPr="003178F4" w:rsidRDefault="003178F4" w:rsidP="003178F4">
      <w:pPr>
        <w:rPr>
          <w:rFonts w:cs="Arial"/>
          <w:sz w:val="20"/>
          <w:szCs w:val="20"/>
        </w:rPr>
      </w:pPr>
      <w:r w:rsidRPr="003178F4">
        <w:rPr>
          <w:rFonts w:cs="Arial"/>
          <w:sz w:val="20"/>
          <w:szCs w:val="20"/>
        </w:rPr>
        <w:t>§</w:t>
      </w:r>
      <w:r w:rsidR="00856DF4" w:rsidRPr="003178F4">
        <w:rPr>
          <w:rFonts w:cs="Arial"/>
          <w:sz w:val="20"/>
          <w:szCs w:val="20"/>
        </w:rPr>
        <w:t>§ Many</w:t>
      </w:r>
      <w:r w:rsidRPr="003178F4">
        <w:rPr>
          <w:rFonts w:cs="Arial"/>
          <w:sz w:val="20"/>
          <w:szCs w:val="20"/>
        </w:rPr>
        <w:t xml:space="preserve"> types of cervical immobilization devices are available</w:t>
      </w:r>
      <w:proofErr w:type="gramStart"/>
      <w:r w:rsidRPr="003178F4">
        <w:rPr>
          <w:rFonts w:cs="Arial"/>
          <w:sz w:val="20"/>
          <w:szCs w:val="20"/>
        </w:rPr>
        <w:t xml:space="preserve">.  </w:t>
      </w:r>
      <w:proofErr w:type="gramEnd"/>
      <w:r w:rsidRPr="003178F4">
        <w:rPr>
          <w:rFonts w:cs="Arial"/>
          <w:sz w:val="20"/>
          <w:szCs w:val="20"/>
        </w:rPr>
        <w:t>These include wedges and collars</w:t>
      </w:r>
      <w:proofErr w:type="gramStart"/>
      <w:r w:rsidRPr="003178F4">
        <w:rPr>
          <w:rFonts w:cs="Arial"/>
          <w:sz w:val="20"/>
          <w:szCs w:val="20"/>
        </w:rPr>
        <w:t xml:space="preserve">.  </w:t>
      </w:r>
      <w:proofErr w:type="gramEnd"/>
      <w:r w:rsidRPr="003178F4">
        <w:rPr>
          <w:rFonts w:cs="Arial"/>
          <w:sz w:val="20"/>
          <w:szCs w:val="20"/>
        </w:rPr>
        <w:t>The type of device hosen depends on local preference and policies and procedures</w:t>
      </w:r>
      <w:proofErr w:type="gramStart"/>
      <w:r w:rsidRPr="003178F4">
        <w:rPr>
          <w:rFonts w:cs="Arial"/>
          <w:sz w:val="20"/>
          <w:szCs w:val="20"/>
        </w:rPr>
        <w:t xml:space="preserve">.  </w:t>
      </w:r>
      <w:proofErr w:type="gramEnd"/>
      <w:r w:rsidRPr="003178F4">
        <w:rPr>
          <w:rFonts w:cs="Arial"/>
          <w:sz w:val="20"/>
          <w:szCs w:val="20"/>
        </w:rPr>
        <w:t xml:space="preserve">Whatever device is </w:t>
      </w:r>
      <w:r w:rsidR="00856DF4">
        <w:rPr>
          <w:rFonts w:cs="Arial"/>
          <w:sz w:val="20"/>
          <w:szCs w:val="20"/>
        </w:rPr>
        <w:t>c</w:t>
      </w:r>
      <w:r w:rsidRPr="003178F4">
        <w:rPr>
          <w:rFonts w:cs="Arial"/>
          <w:sz w:val="20"/>
          <w:szCs w:val="20"/>
        </w:rPr>
        <w:t>hosen should be</w:t>
      </w:r>
      <w:r w:rsidR="00856DF4">
        <w:rPr>
          <w:rFonts w:cs="Arial"/>
          <w:sz w:val="20"/>
          <w:szCs w:val="20"/>
        </w:rPr>
        <w:t xml:space="preserve"> </w:t>
      </w:r>
      <w:r w:rsidRPr="003178F4">
        <w:rPr>
          <w:rFonts w:cs="Arial"/>
          <w:sz w:val="20"/>
          <w:szCs w:val="20"/>
        </w:rPr>
        <w:t>stocked in sizes to fit infants, children, adolescents, and adults</w:t>
      </w:r>
      <w:proofErr w:type="gramStart"/>
      <w:r w:rsidRPr="003178F4">
        <w:rPr>
          <w:rFonts w:cs="Arial"/>
          <w:sz w:val="20"/>
          <w:szCs w:val="20"/>
        </w:rPr>
        <w:t xml:space="preserve">.  </w:t>
      </w:r>
      <w:proofErr w:type="gramEnd"/>
      <w:r w:rsidRPr="003178F4">
        <w:rPr>
          <w:rFonts w:cs="Arial"/>
          <w:sz w:val="20"/>
          <w:szCs w:val="20"/>
        </w:rPr>
        <w:t xml:space="preserve">The use of sandbags to meet this requirement is discouraged because they may cause injury if he patient has to be turned. </w:t>
      </w:r>
    </w:p>
    <w:p w:rsidR="00856DF4" w:rsidRDefault="00856DF4" w:rsidP="003178F4">
      <w:pPr>
        <w:rPr>
          <w:sz w:val="20"/>
          <w:szCs w:val="20"/>
        </w:rPr>
      </w:pPr>
    </w:p>
    <w:p w:rsidR="00856DF4" w:rsidRDefault="00856DF4" w:rsidP="003178F4">
      <w:pPr>
        <w:rPr>
          <w:sz w:val="20"/>
          <w:szCs w:val="20"/>
        </w:rPr>
      </w:pPr>
    </w:p>
    <w:p w:rsidR="00856DF4" w:rsidRDefault="00856DF4" w:rsidP="003178F4">
      <w:pPr>
        <w:rPr>
          <w:sz w:val="20"/>
          <w:szCs w:val="20"/>
        </w:rPr>
      </w:pPr>
    </w:p>
    <w:p w:rsidR="00856DF4" w:rsidRDefault="00856DF4" w:rsidP="003178F4">
      <w:pPr>
        <w:rPr>
          <w:sz w:val="20"/>
          <w:szCs w:val="20"/>
        </w:rPr>
      </w:pPr>
    </w:p>
    <w:p w:rsidR="00856DF4" w:rsidRDefault="00856DF4" w:rsidP="003178F4">
      <w:pPr>
        <w:rPr>
          <w:sz w:val="20"/>
          <w:szCs w:val="20"/>
        </w:rPr>
      </w:pPr>
    </w:p>
    <w:p w:rsidR="00856DF4" w:rsidRDefault="00856DF4" w:rsidP="003178F4">
      <w:pPr>
        <w:rPr>
          <w:sz w:val="20"/>
          <w:szCs w:val="20"/>
        </w:rPr>
      </w:pPr>
    </w:p>
    <w:p w:rsidR="00856DF4" w:rsidRDefault="00856DF4" w:rsidP="003178F4">
      <w:pPr>
        <w:rPr>
          <w:sz w:val="20"/>
          <w:szCs w:val="20"/>
        </w:rPr>
      </w:pPr>
    </w:p>
    <w:p w:rsidR="00856DF4" w:rsidRDefault="00856DF4" w:rsidP="003178F4">
      <w:pPr>
        <w:rPr>
          <w:sz w:val="20"/>
          <w:szCs w:val="20"/>
        </w:rPr>
      </w:pPr>
    </w:p>
    <w:p w:rsidR="00856DF4" w:rsidRDefault="00856DF4" w:rsidP="003178F4">
      <w:pPr>
        <w:rPr>
          <w:sz w:val="20"/>
          <w:szCs w:val="20"/>
        </w:rPr>
      </w:pPr>
    </w:p>
    <w:p w:rsidR="00856DF4" w:rsidRDefault="00856DF4" w:rsidP="003178F4">
      <w:pPr>
        <w:rPr>
          <w:sz w:val="20"/>
          <w:szCs w:val="20"/>
        </w:rPr>
      </w:pPr>
    </w:p>
    <w:p w:rsidR="00856DF4" w:rsidRDefault="00856DF4" w:rsidP="003178F4">
      <w:pPr>
        <w:rPr>
          <w:sz w:val="20"/>
          <w:szCs w:val="20"/>
        </w:rPr>
      </w:pPr>
    </w:p>
    <w:p w:rsidR="00856DF4" w:rsidRDefault="00856DF4" w:rsidP="003178F4">
      <w:pPr>
        <w:rPr>
          <w:sz w:val="20"/>
          <w:szCs w:val="20"/>
        </w:rPr>
      </w:pPr>
    </w:p>
    <w:p w:rsidR="00856DF4" w:rsidRDefault="00856DF4" w:rsidP="003178F4">
      <w:pPr>
        <w:rPr>
          <w:sz w:val="20"/>
          <w:szCs w:val="20"/>
        </w:rPr>
      </w:pPr>
    </w:p>
    <w:p w:rsidR="00856DF4" w:rsidRDefault="00856DF4" w:rsidP="003178F4">
      <w:pPr>
        <w:rPr>
          <w:sz w:val="20"/>
          <w:szCs w:val="20"/>
        </w:rPr>
      </w:pPr>
    </w:p>
    <w:p w:rsidR="00856DF4" w:rsidRDefault="00856DF4" w:rsidP="003178F4">
      <w:pPr>
        <w:rPr>
          <w:sz w:val="20"/>
          <w:szCs w:val="20"/>
        </w:rPr>
      </w:pPr>
    </w:p>
    <w:p w:rsidR="00856DF4" w:rsidRDefault="00856DF4" w:rsidP="003178F4">
      <w:pPr>
        <w:rPr>
          <w:sz w:val="20"/>
          <w:szCs w:val="20"/>
        </w:rPr>
      </w:pPr>
    </w:p>
    <w:p w:rsidR="00856DF4" w:rsidRDefault="00856DF4" w:rsidP="003178F4">
      <w:pPr>
        <w:rPr>
          <w:sz w:val="20"/>
          <w:szCs w:val="20"/>
        </w:rPr>
      </w:pPr>
    </w:p>
    <w:p w:rsidR="00856DF4" w:rsidRDefault="00856DF4" w:rsidP="003178F4">
      <w:pPr>
        <w:rPr>
          <w:sz w:val="20"/>
          <w:szCs w:val="20"/>
        </w:rPr>
      </w:pPr>
    </w:p>
    <w:p w:rsidR="00856DF4" w:rsidRDefault="00856DF4" w:rsidP="003178F4">
      <w:pPr>
        <w:rPr>
          <w:sz w:val="20"/>
          <w:szCs w:val="20"/>
        </w:rPr>
      </w:pPr>
    </w:p>
    <w:p w:rsidR="00856DF4" w:rsidRDefault="00856DF4" w:rsidP="003178F4">
      <w:pPr>
        <w:rPr>
          <w:sz w:val="20"/>
          <w:szCs w:val="20"/>
        </w:rPr>
      </w:pPr>
    </w:p>
    <w:p w:rsidR="003178F4" w:rsidRPr="00856DF4" w:rsidRDefault="003178F4" w:rsidP="003178F4">
      <w:pPr>
        <w:rPr>
          <w:sz w:val="20"/>
          <w:szCs w:val="20"/>
        </w:rPr>
      </w:pPr>
      <w:r w:rsidRPr="00856DF4">
        <w:rPr>
          <w:sz w:val="20"/>
          <w:szCs w:val="20"/>
        </w:rPr>
        <w:t xml:space="preserve">American Academy of Pediatrics, </w:t>
      </w:r>
      <w:r w:rsidR="00856DF4" w:rsidRPr="00DE68AE">
        <w:rPr>
          <w:i/>
          <w:sz w:val="20"/>
          <w:szCs w:val="20"/>
        </w:rPr>
        <w:t>Care of Children in the Emergency Department: Guideline for Preparedness</w:t>
      </w:r>
      <w:r w:rsidR="00856DF4" w:rsidRPr="00856DF4">
        <w:rPr>
          <w:sz w:val="20"/>
          <w:szCs w:val="20"/>
        </w:rPr>
        <w:t>.</w:t>
      </w:r>
    </w:p>
    <w:p w:rsidR="0056438D" w:rsidRDefault="0056438D" w:rsidP="003178F4">
      <w:pPr>
        <w:rPr>
          <w:b/>
        </w:rPr>
      </w:pPr>
    </w:p>
    <w:p w:rsidR="00856DF4" w:rsidRDefault="00856DF4" w:rsidP="0014020E">
      <w:pPr>
        <w:jc w:val="center"/>
        <w:rPr>
          <w:b/>
        </w:rPr>
      </w:pPr>
    </w:p>
    <w:p w:rsidR="00856DF4" w:rsidRDefault="00856DF4" w:rsidP="0014020E">
      <w:pPr>
        <w:jc w:val="center"/>
        <w:rPr>
          <w:b/>
        </w:rPr>
      </w:pPr>
    </w:p>
    <w:p w:rsidR="0014020E" w:rsidRPr="0014020E" w:rsidRDefault="00856DF4" w:rsidP="0014020E">
      <w:pPr>
        <w:jc w:val="center"/>
        <w:rPr>
          <w:b/>
        </w:rPr>
      </w:pPr>
      <w:r>
        <w:rPr>
          <w:b/>
        </w:rPr>
        <w:t>M</w:t>
      </w:r>
      <w:r w:rsidR="0014020E" w:rsidRPr="0014020E">
        <w:rPr>
          <w:b/>
        </w:rPr>
        <w:t>edications</w:t>
      </w:r>
    </w:p>
    <w:tbl>
      <w:tblPr>
        <w:tblStyle w:val="TableGrid"/>
        <w:tblW w:w="0" w:type="auto"/>
        <w:jc w:val="center"/>
        <w:tblInd w:w="-478" w:type="dxa"/>
        <w:tblLook w:val="01E0" w:firstRow="1" w:lastRow="1" w:firstColumn="1" w:lastColumn="1" w:noHBand="0" w:noVBand="0"/>
      </w:tblPr>
      <w:tblGrid>
        <w:gridCol w:w="3006"/>
        <w:gridCol w:w="2200"/>
        <w:gridCol w:w="4400"/>
      </w:tblGrid>
      <w:tr w:rsidR="008B22DA" w:rsidRPr="0014020E">
        <w:trPr>
          <w:trHeight w:val="432"/>
          <w:jc w:val="center"/>
        </w:trPr>
        <w:tc>
          <w:tcPr>
            <w:tcW w:w="3006" w:type="dxa"/>
            <w:vAlign w:val="center"/>
          </w:tcPr>
          <w:p w:rsidR="008B22DA" w:rsidRPr="0014020E" w:rsidRDefault="0014020E" w:rsidP="0014020E">
            <w:pPr>
              <w:jc w:val="center"/>
              <w:rPr>
                <w:b/>
              </w:rPr>
            </w:pPr>
            <w:r>
              <w:rPr>
                <w:b/>
              </w:rPr>
              <w:t>Drug</w:t>
            </w:r>
          </w:p>
        </w:tc>
        <w:tc>
          <w:tcPr>
            <w:tcW w:w="2200" w:type="dxa"/>
            <w:vAlign w:val="center"/>
          </w:tcPr>
          <w:p w:rsidR="008B22DA" w:rsidRPr="0014020E" w:rsidRDefault="0014020E" w:rsidP="0014020E">
            <w:pPr>
              <w:jc w:val="center"/>
              <w:rPr>
                <w:b/>
              </w:rPr>
            </w:pPr>
            <w:r w:rsidRPr="0014020E">
              <w:rPr>
                <w:b/>
              </w:rPr>
              <w:t>Supplied</w:t>
            </w:r>
          </w:p>
        </w:tc>
        <w:tc>
          <w:tcPr>
            <w:tcW w:w="4400" w:type="dxa"/>
            <w:vAlign w:val="center"/>
          </w:tcPr>
          <w:p w:rsidR="008B22DA" w:rsidRPr="0014020E" w:rsidRDefault="0014020E" w:rsidP="0014020E">
            <w:pPr>
              <w:jc w:val="center"/>
              <w:rPr>
                <w:b/>
              </w:rPr>
            </w:pPr>
            <w:r w:rsidRPr="0014020E">
              <w:rPr>
                <w:b/>
              </w:rPr>
              <w:t>Quantity/container</w:t>
            </w:r>
          </w:p>
        </w:tc>
      </w:tr>
      <w:tr w:rsidR="0014020E">
        <w:trPr>
          <w:trHeight w:val="432"/>
          <w:jc w:val="center"/>
        </w:trPr>
        <w:tc>
          <w:tcPr>
            <w:tcW w:w="3006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 xml:space="preserve">Atropine </w:t>
            </w:r>
          </w:p>
        </w:tc>
        <w:tc>
          <w:tcPr>
            <w:tcW w:w="22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>
              <w:rPr>
                <w:rFonts w:cs="Arial"/>
              </w:rPr>
              <w:t>Pre-filled</w:t>
            </w:r>
            <w:r w:rsidRPr="00865511">
              <w:rPr>
                <w:rFonts w:cs="Arial"/>
              </w:rPr>
              <w:t xml:space="preserve"> syringe </w:t>
            </w:r>
          </w:p>
        </w:tc>
        <w:tc>
          <w:tcPr>
            <w:tcW w:w="44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10 mL (0.1 mg/mL)</w:t>
            </w:r>
          </w:p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5 mL (0.1 mg/mL)</w:t>
            </w:r>
          </w:p>
        </w:tc>
      </w:tr>
      <w:tr w:rsidR="0014020E">
        <w:trPr>
          <w:trHeight w:val="432"/>
          <w:jc w:val="center"/>
        </w:trPr>
        <w:tc>
          <w:tcPr>
            <w:tcW w:w="3006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 xml:space="preserve">Adenosine </w:t>
            </w:r>
          </w:p>
        </w:tc>
        <w:tc>
          <w:tcPr>
            <w:tcW w:w="22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 xml:space="preserve">Vial </w:t>
            </w:r>
          </w:p>
        </w:tc>
        <w:tc>
          <w:tcPr>
            <w:tcW w:w="44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1 mL (1 mg/mL)</w:t>
            </w:r>
          </w:p>
        </w:tc>
      </w:tr>
      <w:tr w:rsidR="0014020E">
        <w:trPr>
          <w:trHeight w:val="432"/>
          <w:jc w:val="center"/>
        </w:trPr>
        <w:tc>
          <w:tcPr>
            <w:tcW w:w="3006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proofErr w:type="spellStart"/>
            <w:r w:rsidRPr="00865511">
              <w:rPr>
                <w:rFonts w:cs="Arial"/>
              </w:rPr>
              <w:t>Bretylium</w:t>
            </w:r>
            <w:proofErr w:type="spellEnd"/>
            <w:r w:rsidRPr="00865511">
              <w:rPr>
                <w:rFonts w:cs="Arial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>
              <w:rPr>
                <w:rFonts w:cs="Arial"/>
              </w:rPr>
              <w:t>Pre-filled</w:t>
            </w:r>
            <w:r w:rsidRPr="00865511">
              <w:rPr>
                <w:rFonts w:cs="Arial"/>
              </w:rPr>
              <w:t xml:space="preserve"> syringe</w:t>
            </w:r>
          </w:p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Ampule</w:t>
            </w:r>
          </w:p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 xml:space="preserve">Vial </w:t>
            </w:r>
          </w:p>
        </w:tc>
        <w:tc>
          <w:tcPr>
            <w:tcW w:w="44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10 mL (50 mg/mL)</w:t>
            </w:r>
          </w:p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10 mL (50 mg/mL)</w:t>
            </w:r>
          </w:p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20 mL (50 mg/mL)</w:t>
            </w:r>
          </w:p>
        </w:tc>
      </w:tr>
      <w:tr w:rsidR="0014020E">
        <w:trPr>
          <w:trHeight w:val="432"/>
          <w:jc w:val="center"/>
        </w:trPr>
        <w:tc>
          <w:tcPr>
            <w:tcW w:w="3006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 xml:space="preserve">Calcium chloride </w:t>
            </w:r>
          </w:p>
        </w:tc>
        <w:tc>
          <w:tcPr>
            <w:tcW w:w="22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>
              <w:rPr>
                <w:rFonts w:cs="Arial"/>
              </w:rPr>
              <w:t>Pre-filled</w:t>
            </w:r>
            <w:r w:rsidRPr="00865511">
              <w:rPr>
                <w:rFonts w:cs="Arial"/>
              </w:rPr>
              <w:t xml:space="preserve"> syringe </w:t>
            </w:r>
          </w:p>
        </w:tc>
        <w:tc>
          <w:tcPr>
            <w:tcW w:w="44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10 mL</w:t>
            </w:r>
          </w:p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 xml:space="preserve"> (100 mg/mL=27.1mg elemental calcium </w:t>
            </w:r>
          </w:p>
        </w:tc>
      </w:tr>
      <w:tr w:rsidR="0014020E">
        <w:trPr>
          <w:trHeight w:val="432"/>
          <w:jc w:val="center"/>
        </w:trPr>
        <w:tc>
          <w:tcPr>
            <w:tcW w:w="3006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 xml:space="preserve">Dextrose </w:t>
            </w:r>
          </w:p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(25% and 50%)</w:t>
            </w:r>
          </w:p>
        </w:tc>
        <w:tc>
          <w:tcPr>
            <w:tcW w:w="22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>
              <w:rPr>
                <w:rFonts w:cs="Arial"/>
              </w:rPr>
              <w:t>Pre-filled</w:t>
            </w:r>
            <w:r w:rsidRPr="00865511">
              <w:rPr>
                <w:rFonts w:cs="Arial"/>
              </w:rPr>
              <w:t xml:space="preserve"> syringe </w:t>
            </w:r>
          </w:p>
        </w:tc>
        <w:tc>
          <w:tcPr>
            <w:tcW w:w="44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10 mL</w:t>
            </w:r>
          </w:p>
        </w:tc>
      </w:tr>
      <w:tr w:rsidR="0014020E">
        <w:trPr>
          <w:trHeight w:val="432"/>
          <w:jc w:val="center"/>
        </w:trPr>
        <w:tc>
          <w:tcPr>
            <w:tcW w:w="3006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 xml:space="preserve">Dopamine </w:t>
            </w:r>
          </w:p>
        </w:tc>
        <w:tc>
          <w:tcPr>
            <w:tcW w:w="22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Vial</w:t>
            </w:r>
          </w:p>
        </w:tc>
        <w:tc>
          <w:tcPr>
            <w:tcW w:w="44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5 mL (40 mg/ml)</w:t>
            </w:r>
          </w:p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10 mL (40 mg/mL)</w:t>
            </w:r>
          </w:p>
        </w:tc>
      </w:tr>
      <w:tr w:rsidR="0014020E">
        <w:trPr>
          <w:trHeight w:val="432"/>
          <w:jc w:val="center"/>
        </w:trPr>
        <w:tc>
          <w:tcPr>
            <w:tcW w:w="3006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proofErr w:type="spellStart"/>
            <w:r w:rsidRPr="00865511">
              <w:rPr>
                <w:rFonts w:cs="Arial"/>
              </w:rPr>
              <w:t>Dobutamine</w:t>
            </w:r>
            <w:proofErr w:type="spellEnd"/>
            <w:r w:rsidRPr="00865511">
              <w:rPr>
                <w:rFonts w:cs="Arial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Vial</w:t>
            </w:r>
          </w:p>
        </w:tc>
        <w:tc>
          <w:tcPr>
            <w:tcW w:w="44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10 mL (25 mg/mL)</w:t>
            </w:r>
          </w:p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20 mL (12.5 mg/mL)</w:t>
            </w:r>
          </w:p>
        </w:tc>
      </w:tr>
      <w:tr w:rsidR="0014020E">
        <w:trPr>
          <w:trHeight w:val="432"/>
          <w:jc w:val="center"/>
        </w:trPr>
        <w:tc>
          <w:tcPr>
            <w:tcW w:w="3006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Epinephrine 1:1000</w:t>
            </w:r>
          </w:p>
        </w:tc>
        <w:tc>
          <w:tcPr>
            <w:tcW w:w="22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>
              <w:rPr>
                <w:rFonts w:cs="Arial"/>
              </w:rPr>
              <w:t>Pre-filled</w:t>
            </w:r>
            <w:r w:rsidRPr="00865511">
              <w:rPr>
                <w:rFonts w:cs="Arial"/>
              </w:rPr>
              <w:t xml:space="preserve"> syringe </w:t>
            </w:r>
          </w:p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 xml:space="preserve">Vial </w:t>
            </w:r>
          </w:p>
        </w:tc>
        <w:tc>
          <w:tcPr>
            <w:tcW w:w="44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1 mL, 2 mL</w:t>
            </w:r>
          </w:p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30 mL (1 mg/mL)</w:t>
            </w:r>
          </w:p>
        </w:tc>
      </w:tr>
      <w:tr w:rsidR="0014020E">
        <w:trPr>
          <w:trHeight w:val="432"/>
          <w:jc w:val="center"/>
        </w:trPr>
        <w:tc>
          <w:tcPr>
            <w:tcW w:w="3006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Epinephrine 1:10,000</w:t>
            </w:r>
          </w:p>
        </w:tc>
        <w:tc>
          <w:tcPr>
            <w:tcW w:w="22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>
              <w:rPr>
                <w:rFonts w:cs="Arial"/>
              </w:rPr>
              <w:t>Pre-filled</w:t>
            </w:r>
            <w:r w:rsidRPr="00865511">
              <w:rPr>
                <w:rFonts w:cs="Arial"/>
              </w:rPr>
              <w:t xml:space="preserve"> syringe </w:t>
            </w:r>
          </w:p>
        </w:tc>
        <w:tc>
          <w:tcPr>
            <w:tcW w:w="44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10 mL (0.1 mg/mL)</w:t>
            </w:r>
          </w:p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 xml:space="preserve">3 mL (0.1 mg/mL) </w:t>
            </w:r>
          </w:p>
        </w:tc>
      </w:tr>
      <w:tr w:rsidR="0014020E">
        <w:trPr>
          <w:trHeight w:val="432"/>
          <w:jc w:val="center"/>
        </w:trPr>
        <w:tc>
          <w:tcPr>
            <w:tcW w:w="3006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 xml:space="preserve">Isoproterenol </w:t>
            </w:r>
          </w:p>
        </w:tc>
        <w:tc>
          <w:tcPr>
            <w:tcW w:w="22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 xml:space="preserve">Vial </w:t>
            </w:r>
          </w:p>
        </w:tc>
        <w:tc>
          <w:tcPr>
            <w:tcW w:w="44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5 mL (0.2 mg/mL)</w:t>
            </w:r>
          </w:p>
        </w:tc>
      </w:tr>
      <w:tr w:rsidR="0014020E">
        <w:trPr>
          <w:trHeight w:val="432"/>
          <w:jc w:val="center"/>
        </w:trPr>
        <w:tc>
          <w:tcPr>
            <w:tcW w:w="3006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</w:p>
          <w:p w:rsidR="0014020E" w:rsidRPr="00865511" w:rsidRDefault="0014020E" w:rsidP="0056438D">
            <w:pPr>
              <w:rPr>
                <w:rFonts w:cs="Arial"/>
              </w:rPr>
            </w:pPr>
            <w:proofErr w:type="spellStart"/>
            <w:r w:rsidRPr="00865511">
              <w:rPr>
                <w:rFonts w:cs="Arial"/>
              </w:rPr>
              <w:t>Lidocaine</w:t>
            </w:r>
            <w:proofErr w:type="spellEnd"/>
            <w:r w:rsidRPr="00865511">
              <w:rPr>
                <w:rFonts w:cs="Arial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>
              <w:rPr>
                <w:rFonts w:cs="Arial"/>
              </w:rPr>
              <w:t>Pre-filled</w:t>
            </w:r>
            <w:r w:rsidRPr="00865511">
              <w:rPr>
                <w:rFonts w:cs="Arial"/>
              </w:rPr>
              <w:t xml:space="preserve"> syringe </w:t>
            </w:r>
          </w:p>
          <w:p w:rsidR="0014020E" w:rsidRPr="00865511" w:rsidRDefault="0014020E" w:rsidP="0056438D">
            <w:pPr>
              <w:rPr>
                <w:rFonts w:cs="Arial"/>
              </w:rPr>
            </w:pPr>
          </w:p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Vial</w:t>
            </w:r>
          </w:p>
          <w:p w:rsidR="0014020E" w:rsidRPr="00865511" w:rsidRDefault="0014020E" w:rsidP="0056438D">
            <w:pPr>
              <w:rPr>
                <w:rFonts w:cs="Arial"/>
              </w:rPr>
            </w:pPr>
          </w:p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 xml:space="preserve">Ampule </w:t>
            </w:r>
          </w:p>
        </w:tc>
        <w:tc>
          <w:tcPr>
            <w:tcW w:w="44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 xml:space="preserve">5 mg/mL, 10 mg/mL, </w:t>
            </w:r>
          </w:p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15 mg/mL, 20 mg/mL,</w:t>
            </w:r>
          </w:p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 xml:space="preserve">40 mg/mL, 100 mg/mL, </w:t>
            </w:r>
          </w:p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200 mg/mL</w:t>
            </w:r>
          </w:p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5 mL (20 mg/mL)</w:t>
            </w:r>
          </w:p>
        </w:tc>
      </w:tr>
      <w:tr w:rsidR="0014020E">
        <w:trPr>
          <w:trHeight w:val="432"/>
          <w:jc w:val="center"/>
        </w:trPr>
        <w:tc>
          <w:tcPr>
            <w:tcW w:w="3006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 xml:space="preserve">Naloxone </w:t>
            </w:r>
          </w:p>
        </w:tc>
        <w:tc>
          <w:tcPr>
            <w:tcW w:w="22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 xml:space="preserve">Vial </w:t>
            </w:r>
          </w:p>
        </w:tc>
        <w:tc>
          <w:tcPr>
            <w:tcW w:w="44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 xml:space="preserve">1 mL, </w:t>
            </w:r>
          </w:p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 xml:space="preserve">10 mL, (0.4 mg/ml) </w:t>
            </w:r>
          </w:p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2 mL (1 mg/mL)</w:t>
            </w:r>
          </w:p>
        </w:tc>
      </w:tr>
      <w:tr w:rsidR="0014020E">
        <w:trPr>
          <w:trHeight w:val="432"/>
          <w:jc w:val="center"/>
        </w:trPr>
        <w:tc>
          <w:tcPr>
            <w:tcW w:w="3006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 xml:space="preserve">Sodium Bicarbonate </w:t>
            </w:r>
          </w:p>
        </w:tc>
        <w:tc>
          <w:tcPr>
            <w:tcW w:w="22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Pre</w:t>
            </w:r>
            <w:r>
              <w:rPr>
                <w:rFonts w:cs="Arial"/>
              </w:rPr>
              <w:t>-</w:t>
            </w:r>
            <w:r w:rsidRPr="00865511">
              <w:rPr>
                <w:rFonts w:cs="Arial"/>
              </w:rPr>
              <w:t xml:space="preserve">filled syringe </w:t>
            </w:r>
          </w:p>
        </w:tc>
        <w:tc>
          <w:tcPr>
            <w:tcW w:w="4400" w:type="dxa"/>
            <w:vAlign w:val="center"/>
          </w:tcPr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50 mL (8.4%) (1 mEq/mL)</w:t>
            </w:r>
          </w:p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10 mL (8.4%) (1 mEq/mL)</w:t>
            </w:r>
          </w:p>
          <w:p w:rsidR="0014020E" w:rsidRPr="00865511" w:rsidRDefault="0014020E" w:rsidP="0056438D">
            <w:pPr>
              <w:rPr>
                <w:rFonts w:cs="Arial"/>
              </w:rPr>
            </w:pPr>
            <w:r w:rsidRPr="00865511">
              <w:rPr>
                <w:rFonts w:cs="Arial"/>
              </w:rPr>
              <w:t>10 mL (4.2%) (0.5 mEq/mL)</w:t>
            </w:r>
          </w:p>
        </w:tc>
      </w:tr>
    </w:tbl>
    <w:p w:rsidR="00B72DCC" w:rsidRDefault="00B72DCC" w:rsidP="003178F4"/>
    <w:sectPr w:rsidR="00B72DCC" w:rsidSect="00A14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4F"/>
    <w:rsid w:val="0014020E"/>
    <w:rsid w:val="00147DDB"/>
    <w:rsid w:val="003178F4"/>
    <w:rsid w:val="0056438D"/>
    <w:rsid w:val="00856DF4"/>
    <w:rsid w:val="008B22DA"/>
    <w:rsid w:val="00A143FF"/>
    <w:rsid w:val="00B72DCC"/>
    <w:rsid w:val="00BA0D4F"/>
    <w:rsid w:val="00D906CB"/>
    <w:rsid w:val="00DE68AE"/>
    <w:rsid w:val="00E20F4B"/>
    <w:rsid w:val="00E91597"/>
    <w:rsid w:val="00F3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20E"/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72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14020E"/>
    <w:pPr>
      <w:jc w:val="center"/>
    </w:pPr>
    <w:rPr>
      <w:rFonts w:ascii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rsid w:val="00856D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20E"/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72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14020E"/>
    <w:pPr>
      <w:jc w:val="center"/>
    </w:pPr>
    <w:rPr>
      <w:rFonts w:ascii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rsid w:val="00856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730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Pediatric Equipment Capabilities Checklist</vt:lpstr>
    </vt:vector>
  </TitlesOfParts>
  <Company>MN Dept of Health</Company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Pediatric Equipment Capabilities Checklist</dc:title>
  <dc:subject/>
  <dc:creator>CFH</dc:creator>
  <cp:keywords/>
  <dc:description/>
  <cp:lastModifiedBy>Chris Ballard</cp:lastModifiedBy>
  <cp:revision>2</cp:revision>
  <dcterms:created xsi:type="dcterms:W3CDTF">2011-07-28T13:33:00Z</dcterms:created>
  <dcterms:modified xsi:type="dcterms:W3CDTF">2011-07-28T13:33:00Z</dcterms:modified>
</cp:coreProperties>
</file>