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6083" w14:textId="3978CDAC" w:rsidR="00EB084B" w:rsidRPr="00B97137" w:rsidRDefault="00EB084B" w:rsidP="00B97137">
      <w:pPr>
        <w:pStyle w:val="Heading1"/>
      </w:pPr>
      <w:bookmarkStart w:id="0" w:name="_Hlk98834237"/>
      <w:r w:rsidRPr="00B97137">
        <w:t xml:space="preserve">Pneumococcal </w:t>
      </w:r>
      <w:r w:rsidR="00BE225A" w:rsidRPr="00B97137">
        <w:t>Polysaccharide</w:t>
      </w:r>
      <w:r w:rsidRPr="00B97137">
        <w:t xml:space="preserve"> Vaccine, </w:t>
      </w:r>
      <w:r w:rsidR="00255C92" w:rsidRPr="00B97137">
        <w:t>2</w:t>
      </w:r>
      <w:r w:rsidR="00BE225A" w:rsidRPr="00B97137">
        <w:t>3</w:t>
      </w:r>
      <w:r w:rsidRPr="00B97137">
        <w:t>-Valent (</w:t>
      </w:r>
      <w:r w:rsidR="00BE225A" w:rsidRPr="00B97137">
        <w:t>PP</w:t>
      </w:r>
      <w:r w:rsidR="00AE516A" w:rsidRPr="00B97137">
        <w:t>S</w:t>
      </w:r>
      <w:r w:rsidR="00BE225A" w:rsidRPr="00B97137">
        <w:t>V23</w:t>
      </w:r>
      <w:r w:rsidRPr="00B97137">
        <w:t>) Vaccination</w:t>
      </w:r>
    </w:p>
    <w:bookmarkEnd w:id="0"/>
    <w:p w14:paraId="16E69D9B" w14:textId="40F6398B" w:rsidR="00850587" w:rsidRDefault="000B3E7D" w:rsidP="00B97137">
      <w:pPr>
        <w:pStyle w:val="Subtitle"/>
      </w:pPr>
      <w:r w:rsidRPr="00B97137">
        <w:t>vaccine protocol</w:t>
      </w:r>
      <w:r w:rsidR="00185403" w:rsidRPr="00B97137">
        <w:t xml:space="preserve"> for </w:t>
      </w:r>
      <w:r w:rsidR="00AA6AE3" w:rsidRPr="00B97137">
        <w:t xml:space="preserve">At-risk Persons Age </w:t>
      </w:r>
      <w:r w:rsidR="007F0AB0" w:rsidRPr="00B97137">
        <w:t>2</w:t>
      </w:r>
      <w:r w:rsidR="00AA6AE3" w:rsidRPr="00B97137">
        <w:t>-</w:t>
      </w:r>
      <w:r w:rsidR="00E91508" w:rsidRPr="00B97137">
        <w:t>18</w:t>
      </w:r>
      <w:r w:rsidR="00AA6AE3" w:rsidRPr="00B97137">
        <w:t xml:space="preserve"> Years</w:t>
      </w:r>
    </w:p>
    <w:p w14:paraId="7B18F481" w14:textId="12FFC7EB" w:rsidR="00850587" w:rsidRPr="00177E32" w:rsidRDefault="00850587" w:rsidP="00B97137">
      <w:pPr>
        <w:rPr>
          <w:bCs/>
        </w:rPr>
      </w:pPr>
      <w:r w:rsidRPr="00B97137">
        <w:rPr>
          <w:b/>
          <w:bCs/>
        </w:rPr>
        <w:t>Document reviewed and updated:</w:t>
      </w:r>
      <w:r w:rsidR="00E91508">
        <w:rPr>
          <w:b/>
          <w:bCs/>
        </w:rPr>
        <w:t xml:space="preserve"> </w:t>
      </w:r>
      <w:r w:rsidR="009F698B">
        <w:rPr>
          <w:b/>
          <w:bCs/>
          <w:color w:val="C00000"/>
        </w:rPr>
        <w:t>April</w:t>
      </w:r>
      <w:r w:rsidR="00E91508" w:rsidRPr="00B97137">
        <w:rPr>
          <w:b/>
          <w:bCs/>
          <w:color w:val="C00000"/>
        </w:rPr>
        <w:t xml:space="preserve"> </w:t>
      </w:r>
      <w:r w:rsidR="00E91571">
        <w:rPr>
          <w:b/>
          <w:bCs/>
          <w:color w:val="C00000"/>
        </w:rPr>
        <w:t>28</w:t>
      </w:r>
      <w:r w:rsidR="00E91508" w:rsidRPr="00B97137">
        <w:rPr>
          <w:b/>
          <w:bCs/>
          <w:color w:val="C00000"/>
        </w:rPr>
        <w:t>, 2022</w:t>
      </w:r>
    </w:p>
    <w:p w14:paraId="7A02009C" w14:textId="77777777" w:rsidR="000B3E7D" w:rsidRDefault="000B3E7D" w:rsidP="000B3E7D">
      <w:pPr>
        <w:pStyle w:val="Heading2"/>
      </w:pPr>
      <w:r>
        <w:t>Condition for protocol</w:t>
      </w:r>
    </w:p>
    <w:p w14:paraId="39DE58B5" w14:textId="49F5A92B" w:rsidR="000B3E7D" w:rsidRPr="00B97137" w:rsidRDefault="003008FD" w:rsidP="00185403">
      <w:r w:rsidRPr="00B97137">
        <w:t xml:space="preserve">To reduce incidence of morbidity and mortality of </w:t>
      </w:r>
      <w:r w:rsidRPr="00B97137">
        <w:rPr>
          <w:i/>
        </w:rPr>
        <w:t>Streptococcal</w:t>
      </w:r>
      <w:r w:rsidRPr="00B97137">
        <w:t xml:space="preserve"> </w:t>
      </w:r>
      <w:r w:rsidRPr="00B97137">
        <w:rPr>
          <w:i/>
        </w:rPr>
        <w:t>Pneumoniae</w:t>
      </w:r>
      <w:r w:rsidRPr="00B97137">
        <w:t xml:space="preserve"> invasive disease</w:t>
      </w:r>
      <w:r w:rsidR="000B3E7D" w:rsidRPr="00B97137">
        <w:t>.</w:t>
      </w:r>
    </w:p>
    <w:p w14:paraId="21FDF14C" w14:textId="77777777" w:rsidR="000B3E7D" w:rsidRDefault="000B3E7D" w:rsidP="000B3E7D">
      <w:pPr>
        <w:pStyle w:val="Heading2"/>
      </w:pPr>
      <w:r>
        <w:t>Policy of protocol</w:t>
      </w:r>
    </w:p>
    <w:p w14:paraId="261EA669" w14:textId="6A772084" w:rsidR="000B3E7D" w:rsidRDefault="000B3E7D" w:rsidP="00B97137">
      <w:r>
        <w:t xml:space="preserve">The nurse will implement this protocol for </w:t>
      </w:r>
      <w:r w:rsidR="00E9024D">
        <w:t>P</w:t>
      </w:r>
      <w:r w:rsidR="00BE225A">
        <w:t>P</w:t>
      </w:r>
      <w:r w:rsidR="00AE516A">
        <w:t>S</w:t>
      </w:r>
      <w:r w:rsidR="00BE225A">
        <w:t>V23</w:t>
      </w:r>
      <w:r w:rsidR="003008FD" w:rsidRPr="00B97137">
        <w:t xml:space="preserve"> vaccination</w:t>
      </w:r>
      <w:r>
        <w:t>.</w:t>
      </w:r>
    </w:p>
    <w:p w14:paraId="7FD0CDEB" w14:textId="53A3D826" w:rsidR="009F7DC7" w:rsidRDefault="009F7DC7" w:rsidP="00B97137">
      <w:bookmarkStart w:id="1" w:name="_Hlk216418560"/>
      <w:r w:rsidRPr="009F7DC7">
        <w:t>The indications for vaccination are based on recommendations from the American Academy of Pediatrics (AAP) and the American Academy of Family Physicians (AAFP).</w:t>
      </w:r>
      <w:bookmarkEnd w:id="1"/>
    </w:p>
    <w:p w14:paraId="00E2CDA9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17F872C3" w14:textId="4FC27697" w:rsidR="000B3E7D" w:rsidRPr="00B97137" w:rsidRDefault="000B3E7D" w:rsidP="00B97137">
      <w:pPr>
        <w:pStyle w:val="NormalLtBlueBackground"/>
      </w:pPr>
      <w:r w:rsidRPr="00B97137"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00300DC5" w:rsidRPr="00B97137">
        <w:t xml:space="preserve">ns include examples shown in </w:t>
      </w:r>
      <w:r w:rsidR="00941CB4" w:rsidRPr="00B97137">
        <w:t>brackets but</w:t>
      </w:r>
      <w:r w:rsidRPr="00B97137">
        <w:t xml:space="preserve"> may not suit your institution’s clinical situation and may not include all possible actions. A licensed prescriber must review the criteria and actions and determine the appropriate prescribing action. </w:t>
      </w:r>
      <w:r w:rsidRPr="00B97137">
        <w:rPr>
          <w:b/>
          <w:bCs/>
          <w:color w:val="C00000"/>
        </w:rPr>
        <w:t>Delete this par</w:t>
      </w:r>
      <w:r w:rsidR="00300DC5" w:rsidRPr="00B97137">
        <w:rPr>
          <w:b/>
          <w:bCs/>
          <w:color w:val="C00000"/>
        </w:rPr>
        <w:t>agraph before signing protocol</w:t>
      </w:r>
      <w:r w:rsidR="00300DC5" w:rsidRPr="00B97137">
        <w:t>.</w:t>
      </w:r>
      <w:r w:rsidRPr="00B97137">
        <w:t>]</w:t>
      </w:r>
    </w:p>
    <w:p w14:paraId="31575651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184CB184" w14:textId="77777777" w:rsidTr="009F7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E973E98" w14:textId="77777777" w:rsidR="0015567C" w:rsidRPr="009F7DC7" w:rsidRDefault="001556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5129" w:type="dxa"/>
          </w:tcPr>
          <w:p w14:paraId="0B495BA0" w14:textId="77777777" w:rsidR="0015567C" w:rsidRPr="009F7DC7" w:rsidRDefault="0015567C" w:rsidP="009F7DC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Prescribed action</w:t>
            </w:r>
          </w:p>
        </w:tc>
      </w:tr>
      <w:tr w:rsidR="00085C7C" w14:paraId="05D4DC9A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142C4C2" w14:textId="054D835E" w:rsidR="00085C7C" w:rsidRPr="009F7DC7" w:rsidRDefault="00085C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Person is age 2 through </w:t>
            </w:r>
            <w:r w:rsidR="00E91508" w:rsidRPr="009F7DC7">
              <w:rPr>
                <w:rFonts w:asciiTheme="majorHAnsi" w:hAnsiTheme="majorHAnsi" w:cstheme="majorHAnsi"/>
              </w:rPr>
              <w:t>18</w:t>
            </w:r>
            <w:r w:rsidRPr="009F7DC7">
              <w:rPr>
                <w:rFonts w:asciiTheme="majorHAnsi" w:hAnsiTheme="majorHAnsi" w:cstheme="majorHAnsi"/>
              </w:rPr>
              <w:t xml:space="preserve"> years and is non-acutely ill. </w:t>
            </w:r>
          </w:p>
        </w:tc>
        <w:tc>
          <w:tcPr>
            <w:tcW w:w="5129" w:type="dxa"/>
          </w:tcPr>
          <w:p w14:paraId="09831BF9" w14:textId="077709F8" w:rsidR="00085C7C" w:rsidRPr="009F7DC7" w:rsidRDefault="00085C7C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9F7DC7">
              <w:rPr>
                <w:rFonts w:asciiTheme="majorHAnsi" w:hAnsiTheme="majorHAnsi" w:cstheme="majorHAnsi"/>
                <w:szCs w:val="20"/>
              </w:rPr>
              <w:t>Proceed to vaccinate if person has a risk indication and meets remaining criteria.</w:t>
            </w:r>
          </w:p>
        </w:tc>
      </w:tr>
      <w:tr w:rsidR="00085C7C" w14:paraId="631750F6" w14:textId="77777777" w:rsidTr="009F7DC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F0F6F4" w14:textId="4689EE10" w:rsidR="00085C7C" w:rsidRPr="009F7DC7" w:rsidRDefault="00085C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Person is age </w:t>
            </w:r>
            <w:r w:rsidR="00E91508" w:rsidRPr="009F7DC7">
              <w:rPr>
                <w:rFonts w:asciiTheme="majorHAnsi" w:hAnsiTheme="majorHAnsi" w:cstheme="majorHAnsi"/>
              </w:rPr>
              <w:t>19</w:t>
            </w:r>
            <w:r w:rsidRPr="009F7DC7">
              <w:rPr>
                <w:rFonts w:asciiTheme="majorHAnsi" w:hAnsiTheme="majorHAnsi" w:cstheme="majorHAnsi"/>
              </w:rPr>
              <w:t xml:space="preserve"> or older</w:t>
            </w:r>
          </w:p>
        </w:tc>
        <w:tc>
          <w:tcPr>
            <w:tcW w:w="5129" w:type="dxa"/>
          </w:tcPr>
          <w:p w14:paraId="3F3EB0F4" w14:textId="208536CA" w:rsidR="00085C7C" w:rsidRPr="009F7DC7" w:rsidRDefault="00085C7C" w:rsidP="009F7DC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9F7DC7">
              <w:rPr>
                <w:rFonts w:asciiTheme="majorHAnsi" w:hAnsiTheme="majorHAnsi" w:cstheme="majorHAnsi"/>
                <w:szCs w:val="20"/>
              </w:rPr>
              <w:t xml:space="preserve">Follow </w:t>
            </w:r>
            <w:r w:rsidRPr="009F7DC7">
              <w:rPr>
                <w:rFonts w:asciiTheme="majorHAnsi" w:hAnsiTheme="majorHAnsi" w:cstheme="majorHAnsi"/>
                <w:i/>
                <w:szCs w:val="20"/>
              </w:rPr>
              <w:t xml:space="preserve">Protocol for </w:t>
            </w:r>
            <w:r w:rsidR="00AE516A" w:rsidRPr="009F7DC7">
              <w:rPr>
                <w:rFonts w:asciiTheme="majorHAnsi" w:hAnsiTheme="majorHAnsi" w:cstheme="majorHAnsi"/>
                <w:i/>
                <w:szCs w:val="20"/>
              </w:rPr>
              <w:t>PPSV23</w:t>
            </w:r>
            <w:r w:rsidRPr="009F7DC7">
              <w:rPr>
                <w:rFonts w:asciiTheme="majorHAnsi" w:hAnsiTheme="majorHAnsi" w:cstheme="majorHAnsi"/>
                <w:i/>
                <w:szCs w:val="20"/>
              </w:rPr>
              <w:t xml:space="preserve"> Vaccination of </w:t>
            </w:r>
            <w:r w:rsidRPr="009F7DC7">
              <w:rPr>
                <w:rFonts w:asciiTheme="majorHAnsi" w:hAnsiTheme="majorHAnsi" w:cstheme="majorHAnsi"/>
                <w:i/>
                <w:szCs w:val="20"/>
              </w:rPr>
              <w:br/>
              <w:t>Persons</w:t>
            </w:r>
            <w:r w:rsidR="00AE516A" w:rsidRPr="009F7DC7">
              <w:rPr>
                <w:rFonts w:asciiTheme="majorHAnsi" w:hAnsiTheme="majorHAnsi" w:cstheme="majorHAnsi"/>
                <w:i/>
                <w:szCs w:val="20"/>
              </w:rPr>
              <w:t xml:space="preserve"> at risk a</w:t>
            </w:r>
            <w:r w:rsidRPr="009F7DC7">
              <w:rPr>
                <w:rFonts w:asciiTheme="majorHAnsi" w:hAnsiTheme="majorHAnsi" w:cstheme="majorHAnsi"/>
                <w:i/>
                <w:szCs w:val="20"/>
              </w:rPr>
              <w:t xml:space="preserve">ge </w:t>
            </w:r>
            <w:r w:rsidR="00E91508" w:rsidRPr="009F7DC7">
              <w:rPr>
                <w:rFonts w:asciiTheme="majorHAnsi" w:hAnsiTheme="majorHAnsi" w:cstheme="majorHAnsi"/>
                <w:i/>
                <w:szCs w:val="20"/>
              </w:rPr>
              <w:t>19</w:t>
            </w:r>
            <w:r w:rsidRPr="009F7DC7">
              <w:rPr>
                <w:rFonts w:asciiTheme="majorHAnsi" w:hAnsiTheme="majorHAnsi" w:cstheme="majorHAnsi"/>
                <w:i/>
                <w:szCs w:val="20"/>
              </w:rPr>
              <w:t xml:space="preserve"> Years or Older.</w:t>
            </w:r>
          </w:p>
        </w:tc>
      </w:tr>
      <w:tr w:rsidR="00085C7C" w14:paraId="37C3E0A7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5D44B6C" w14:textId="7ADE386F" w:rsidR="00085C7C" w:rsidRPr="009F7DC7" w:rsidRDefault="00085C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Person age 2 through </w:t>
            </w:r>
            <w:r w:rsidR="00E91508" w:rsidRPr="009F7DC7">
              <w:rPr>
                <w:rFonts w:asciiTheme="majorHAnsi" w:hAnsiTheme="majorHAnsi" w:cstheme="majorHAnsi"/>
              </w:rPr>
              <w:t>18</w:t>
            </w:r>
            <w:r w:rsidRPr="009F7DC7">
              <w:rPr>
                <w:rFonts w:asciiTheme="majorHAnsi" w:hAnsiTheme="majorHAnsi" w:cstheme="majorHAnsi"/>
              </w:rPr>
              <w:t xml:space="preserve"> years with one of the following risk indications:</w:t>
            </w:r>
          </w:p>
          <w:p w14:paraId="01F2E4A1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Cerebrospinal fluid leak</w:t>
            </w:r>
          </w:p>
          <w:p w14:paraId="5E39B48D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Chronic heart disease, particularly cyanotic congenital heart disease and cardiac failure</w:t>
            </w:r>
          </w:p>
          <w:p w14:paraId="66D06AAD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Chronic lung disease, including asthma if treated with prolonged high-dose oral corticosteroid therapy</w:t>
            </w:r>
          </w:p>
          <w:p w14:paraId="64995D71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Cochlear implant</w:t>
            </w:r>
          </w:p>
          <w:p w14:paraId="389DA583" w14:textId="6E5ABED3" w:rsidR="00085C7C" w:rsidRPr="009F7DC7" w:rsidRDefault="00E91508" w:rsidP="009F7DC7">
            <w:pPr>
              <w:pStyle w:val="ListBullet"/>
              <w:spacing w:before="0" w:after="0"/>
            </w:pPr>
            <w:r w:rsidRPr="009F7DC7">
              <w:rPr>
                <w:sz w:val="20"/>
                <w:szCs w:val="20"/>
              </w:rPr>
              <w:t>Diabetes mellitus</w:t>
            </w:r>
          </w:p>
        </w:tc>
        <w:tc>
          <w:tcPr>
            <w:tcW w:w="5129" w:type="dxa"/>
          </w:tcPr>
          <w:p w14:paraId="12E35F18" w14:textId="04205AD7" w:rsidR="00085C7C" w:rsidRPr="009F7DC7" w:rsidRDefault="00085C7C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Proceed to vaccinate</w:t>
            </w:r>
            <w:r w:rsidR="00E91508" w:rsidRPr="009F7DC7">
              <w:rPr>
                <w:rFonts w:asciiTheme="majorHAnsi" w:hAnsiTheme="majorHAnsi" w:cstheme="majorHAnsi"/>
              </w:rPr>
              <w:t xml:space="preserve"> </w:t>
            </w:r>
            <w:r w:rsidR="00A16C9E" w:rsidRPr="009F7DC7">
              <w:rPr>
                <w:rFonts w:asciiTheme="majorHAnsi" w:hAnsiTheme="majorHAnsi" w:cstheme="majorHAnsi"/>
              </w:rPr>
              <w:t xml:space="preserve">with </w:t>
            </w:r>
            <w:r w:rsidR="00E91508" w:rsidRPr="009F7DC7">
              <w:rPr>
                <w:rFonts w:asciiTheme="majorHAnsi" w:hAnsiTheme="majorHAnsi" w:cstheme="majorHAnsi"/>
              </w:rPr>
              <w:t>a single dose of PPSV23 if it has been at least 8 weeks since the PCV13 series is complete.</w:t>
            </w:r>
          </w:p>
        </w:tc>
      </w:tr>
      <w:tr w:rsidR="00085C7C" w14:paraId="22372DBD" w14:textId="77777777" w:rsidTr="009F7DC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A8E4EC7" w14:textId="0C2D3130" w:rsidR="00E91508" w:rsidRPr="009F7DC7" w:rsidRDefault="00085C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lastRenderedPageBreak/>
              <w:t>Person age 2 through</w:t>
            </w:r>
            <w:r w:rsidR="00E91508" w:rsidRPr="009F7DC7">
              <w:rPr>
                <w:rFonts w:asciiTheme="majorHAnsi" w:hAnsiTheme="majorHAnsi" w:cstheme="majorHAnsi"/>
              </w:rPr>
              <w:t xml:space="preserve"> 18</w:t>
            </w:r>
            <w:r w:rsidRPr="009F7DC7">
              <w:rPr>
                <w:rFonts w:asciiTheme="majorHAnsi" w:hAnsiTheme="majorHAnsi" w:cstheme="majorHAnsi"/>
              </w:rPr>
              <w:t xml:space="preserve"> years has one of the following risk indications</w:t>
            </w:r>
            <w:r w:rsidR="00E91508" w:rsidRPr="009F7DC7">
              <w:rPr>
                <w:rFonts w:asciiTheme="majorHAnsi" w:hAnsiTheme="majorHAnsi" w:cstheme="majorHAnsi"/>
              </w:rPr>
              <w:t>:</w:t>
            </w:r>
          </w:p>
          <w:p w14:paraId="797AA0A3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bookmarkStart w:id="2" w:name="_Hlk102028894"/>
            <w:r w:rsidRPr="009F7DC7">
              <w:rPr>
                <w:sz w:val="20"/>
                <w:szCs w:val="20"/>
              </w:rPr>
              <w:t>Chronic renal failure or nephrotic syndrome</w:t>
            </w:r>
          </w:p>
          <w:p w14:paraId="70718C97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Congenital immunodeficiency</w:t>
            </w:r>
          </w:p>
          <w:p w14:paraId="4F2B74F7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B- (humoral) or T-lymphocyte deficiency</w:t>
            </w:r>
          </w:p>
          <w:p w14:paraId="5133082A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Complement deficiency, particularly C1, C2, C3, or C4 deficiency</w:t>
            </w:r>
          </w:p>
          <w:p w14:paraId="2DCD0455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Phagocytic disorder, excluding chronic granulomatous disease</w:t>
            </w:r>
          </w:p>
          <w:p w14:paraId="2D2BF8E3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Congenital or acquired asplenia, or splenic dysfunction</w:t>
            </w:r>
          </w:p>
          <w:p w14:paraId="0AF7E54C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Diseases associated with treatment of immunosuppressive drugs or radiation therapy</w:t>
            </w:r>
          </w:p>
          <w:p w14:paraId="63245D5D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Hodgkin disease</w:t>
            </w:r>
          </w:p>
          <w:p w14:paraId="051EA0F0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Leukemia</w:t>
            </w:r>
          </w:p>
          <w:p w14:paraId="0310DD1A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Lymphoma</w:t>
            </w:r>
          </w:p>
          <w:p w14:paraId="38FECD9E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Malignant neoplasm</w:t>
            </w:r>
          </w:p>
          <w:p w14:paraId="2222EF75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Solid organ transplant</w:t>
            </w:r>
          </w:p>
          <w:p w14:paraId="314929CE" w14:textId="77777777" w:rsidR="00E91508" w:rsidRPr="009F7DC7" w:rsidRDefault="00E91508" w:rsidP="009F7DC7">
            <w:pPr>
              <w:pStyle w:val="ListBullet"/>
              <w:spacing w:before="0" w:after="0"/>
              <w:rPr>
                <w:sz w:val="20"/>
                <w:szCs w:val="20"/>
              </w:rPr>
            </w:pPr>
            <w:r w:rsidRPr="009F7DC7">
              <w:rPr>
                <w:sz w:val="20"/>
                <w:szCs w:val="20"/>
              </w:rPr>
              <w:t>HIV infection</w:t>
            </w:r>
          </w:p>
          <w:p w14:paraId="3EEAAC3B" w14:textId="36B9ACF6" w:rsidR="00085C7C" w:rsidRPr="009F7DC7" w:rsidRDefault="00E91508" w:rsidP="009F7DC7">
            <w:pPr>
              <w:pStyle w:val="ListBullet"/>
              <w:spacing w:before="0" w:after="0"/>
            </w:pPr>
            <w:r w:rsidRPr="009F7DC7">
              <w:rPr>
                <w:sz w:val="20"/>
                <w:szCs w:val="20"/>
              </w:rPr>
              <w:t>Sickle cell disease or other hemoglobinopathies</w:t>
            </w:r>
            <w:bookmarkEnd w:id="2"/>
          </w:p>
        </w:tc>
        <w:tc>
          <w:tcPr>
            <w:tcW w:w="5129" w:type="dxa"/>
          </w:tcPr>
          <w:p w14:paraId="4BDE1778" w14:textId="129FB0E3" w:rsidR="00085C7C" w:rsidRPr="009F7DC7" w:rsidRDefault="00A16C9E" w:rsidP="009F7DC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Proceed to vaccine with </w:t>
            </w:r>
            <w:r w:rsidR="00E91508" w:rsidRPr="009F7DC7">
              <w:rPr>
                <w:rFonts w:asciiTheme="majorHAnsi" w:hAnsiTheme="majorHAnsi" w:cstheme="majorHAnsi"/>
              </w:rPr>
              <w:t>2 doses of PPSV23 after the PCV13 series is complete. Give the first dose at least 8 weeks after any prior PCV13 dose, then give the second dose of PPSV23 at least 5 years after the first PPSV23 dose.</w:t>
            </w:r>
          </w:p>
        </w:tc>
      </w:tr>
      <w:tr w:rsidR="00085C7C" w:rsidRPr="00CA3810" w14:paraId="009B38E9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C06CE67" w14:textId="6CA6EA05" w:rsidR="00085C7C" w:rsidRPr="009F7DC7" w:rsidRDefault="00085C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Person age 2-</w:t>
            </w:r>
            <w:r w:rsidR="00E91508" w:rsidRPr="009F7DC7">
              <w:rPr>
                <w:rFonts w:asciiTheme="majorHAnsi" w:hAnsiTheme="majorHAnsi" w:cstheme="majorHAnsi"/>
              </w:rPr>
              <w:t>18</w:t>
            </w:r>
            <w:r w:rsidRPr="009F7DC7">
              <w:rPr>
                <w:rFonts w:asciiTheme="majorHAnsi" w:hAnsiTheme="majorHAnsi" w:cstheme="majorHAnsi"/>
              </w:rPr>
              <w:t xml:space="preserve"> years has already received two PPSV23 doses</w:t>
            </w:r>
          </w:p>
        </w:tc>
        <w:tc>
          <w:tcPr>
            <w:tcW w:w="5129" w:type="dxa"/>
          </w:tcPr>
          <w:p w14:paraId="6C291F1B" w14:textId="320B1614" w:rsidR="00085C7C" w:rsidRPr="009F7DC7" w:rsidRDefault="00085C7C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Do not vaccinate. </w:t>
            </w:r>
          </w:p>
        </w:tc>
      </w:tr>
    </w:tbl>
    <w:p w14:paraId="2737593D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5376AC54" w14:textId="77777777" w:rsidTr="009F7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1673747" w14:textId="77777777" w:rsidR="0015567C" w:rsidRPr="009F7DC7" w:rsidRDefault="001556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5129" w:type="dxa"/>
          </w:tcPr>
          <w:p w14:paraId="3FC06886" w14:textId="77777777" w:rsidR="0015567C" w:rsidRPr="009F7DC7" w:rsidRDefault="0015567C" w:rsidP="009F7DC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Prescribed action</w:t>
            </w:r>
          </w:p>
        </w:tc>
      </w:tr>
      <w:tr w:rsidR="00CC6AFC" w14:paraId="042C53C7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D5C6A1A" w14:textId="54ED9EC3" w:rsidR="00CC6AFC" w:rsidRPr="009F7DC7" w:rsidRDefault="00CC6AF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Person had a systemic allergic reaction (e.g., anaphylaxis) to a previous dose of PPV23 vaccine.</w:t>
            </w:r>
          </w:p>
        </w:tc>
        <w:tc>
          <w:tcPr>
            <w:tcW w:w="5129" w:type="dxa"/>
          </w:tcPr>
          <w:p w14:paraId="32C9D63B" w14:textId="69198F40" w:rsidR="00CC6AFC" w:rsidRPr="009F7DC7" w:rsidRDefault="00CC6AFC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Do not vaccinate</w:t>
            </w:r>
            <w:r w:rsidR="00993B1A" w:rsidRPr="009F7DC7">
              <w:rPr>
                <w:rFonts w:asciiTheme="majorHAnsi" w:hAnsiTheme="majorHAnsi" w:cstheme="majorHAnsi"/>
              </w:rPr>
              <w:t>.</w:t>
            </w:r>
          </w:p>
        </w:tc>
      </w:tr>
      <w:tr w:rsidR="00CC6AFC" w14:paraId="0BEFBA96" w14:textId="77777777" w:rsidTr="009F7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CCEB7D7" w14:textId="06D5C18C" w:rsidR="00CC6AFC" w:rsidRPr="009F7DC7" w:rsidRDefault="00CC6AF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Person has a systemic allergy to a component of PPV23 vaccine.</w:t>
            </w:r>
          </w:p>
        </w:tc>
        <w:tc>
          <w:tcPr>
            <w:tcW w:w="5129" w:type="dxa"/>
          </w:tcPr>
          <w:p w14:paraId="616F7531" w14:textId="60F9F178" w:rsidR="00CC6AFC" w:rsidRPr="009F7DC7" w:rsidRDefault="00A16C9E" w:rsidP="009F7DC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Do not vaccinate.</w:t>
            </w:r>
          </w:p>
        </w:tc>
      </w:tr>
    </w:tbl>
    <w:p w14:paraId="3396B191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14:paraId="048B906E" w14:textId="77777777" w:rsidTr="009F7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726CAF6" w14:textId="77777777" w:rsidR="0015567C" w:rsidRPr="009F7DC7" w:rsidRDefault="0015567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5129" w:type="dxa"/>
          </w:tcPr>
          <w:p w14:paraId="66451D8D" w14:textId="77777777" w:rsidR="0015567C" w:rsidRPr="009F7DC7" w:rsidRDefault="0015567C" w:rsidP="009F7DC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Prescribed action</w:t>
            </w:r>
          </w:p>
        </w:tc>
      </w:tr>
      <w:tr w:rsidR="00C0183C" w14:paraId="25730185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9307624" w14:textId="6653FD58" w:rsidR="00C0183C" w:rsidRPr="009F7DC7" w:rsidRDefault="00C0183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53314D65" w14:textId="700A85D7" w:rsidR="00C0183C" w:rsidRPr="009F7DC7" w:rsidRDefault="00C0183C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Proceed to vaccinate.</w:t>
            </w:r>
          </w:p>
        </w:tc>
      </w:tr>
      <w:tr w:rsidR="00C0183C" w14:paraId="300867B3" w14:textId="77777777" w:rsidTr="009F7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80E1F63" w14:textId="51B075D0" w:rsidR="00C0183C" w:rsidRPr="009F7DC7" w:rsidRDefault="00C0183C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Person has a moderate to severe illness defined as</w:t>
            </w:r>
            <w:r w:rsidR="00551756" w:rsidRPr="009F7DC7">
              <w:rPr>
                <w:rFonts w:asciiTheme="majorHAnsi" w:hAnsiTheme="majorHAnsi" w:cstheme="majorHAnsi"/>
              </w:rPr>
              <w:t xml:space="preserve"> </w:t>
            </w:r>
            <w:r w:rsidRPr="009F7DC7">
              <w:rPr>
                <w:rFonts w:asciiTheme="majorHAnsi" w:hAnsiTheme="majorHAnsi" w:cstheme="majorHAnsi"/>
              </w:rPr>
              <w:t>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0D6EB29" w14:textId="651116F0" w:rsidR="00C0183C" w:rsidRPr="009F7DC7" w:rsidRDefault="00C0183C" w:rsidP="009F7DC7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Defer vaccination and {to be determined by medical prescriber}</w:t>
            </w:r>
            <w:r w:rsidR="00C03E8F" w:rsidRPr="009F7DC7">
              <w:rPr>
                <w:rFonts w:asciiTheme="majorHAnsi" w:hAnsiTheme="majorHAnsi" w:cstheme="majorHAnsi"/>
              </w:rPr>
              <w:t>.</w:t>
            </w:r>
          </w:p>
        </w:tc>
      </w:tr>
      <w:tr w:rsidR="00C03E8F" w14:paraId="40F860F1" w14:textId="77777777" w:rsidTr="009F7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48CDAD4" w14:textId="23D2DB27" w:rsidR="00C03E8F" w:rsidRPr="009F7DC7" w:rsidRDefault="00C03E8F" w:rsidP="009F7DC7">
            <w:pPr>
              <w:pStyle w:val="TableText-calibri1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 xml:space="preserve">Person’s cardiovascular and/or pulmonary function is severely </w:t>
            </w:r>
            <w:r w:rsidR="007E788F" w:rsidRPr="009F7DC7">
              <w:rPr>
                <w:rFonts w:asciiTheme="majorHAnsi" w:hAnsiTheme="majorHAnsi" w:cstheme="majorHAnsi"/>
              </w:rPr>
              <w:t>compromised,</w:t>
            </w:r>
            <w:r w:rsidRPr="009F7DC7">
              <w:rPr>
                <w:rFonts w:asciiTheme="majorHAnsi" w:hAnsiTheme="majorHAnsi" w:cstheme="majorHAnsi"/>
              </w:rPr>
              <w:t xml:space="preserve"> and a systemic reaction would pose a significant risk.</w:t>
            </w:r>
          </w:p>
        </w:tc>
        <w:tc>
          <w:tcPr>
            <w:tcW w:w="5129" w:type="dxa"/>
          </w:tcPr>
          <w:p w14:paraId="4574E8EC" w14:textId="77777777" w:rsidR="00C03E8F" w:rsidRPr="009F7DC7" w:rsidRDefault="00C03E8F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Defer vaccination and {to be determined by medical prescriber}.</w:t>
            </w:r>
          </w:p>
          <w:p w14:paraId="5AB3DB7E" w14:textId="13024239" w:rsidR="00177E32" w:rsidRPr="009F7DC7" w:rsidRDefault="001C6AFD" w:rsidP="009F7DC7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F7DC7">
              <w:rPr>
                <w:rFonts w:asciiTheme="majorHAnsi" w:hAnsiTheme="majorHAnsi" w:cstheme="majorHAnsi"/>
              </w:rPr>
              <w:t>[</w:t>
            </w:r>
            <w:r w:rsidR="00177E32" w:rsidRPr="009F7DC7">
              <w:rPr>
                <w:rFonts w:asciiTheme="majorHAnsi" w:hAnsiTheme="majorHAnsi" w:cstheme="majorHAnsi"/>
              </w:rPr>
              <w:t xml:space="preserve">Proceed to vaccinate and provide education to </w:t>
            </w:r>
            <w:r w:rsidRPr="009F7DC7">
              <w:rPr>
                <w:rFonts w:asciiTheme="majorHAnsi" w:hAnsiTheme="majorHAnsi" w:cstheme="majorHAnsi"/>
              </w:rPr>
              <w:t>vaccinee</w:t>
            </w:r>
            <w:r w:rsidR="00177E32" w:rsidRPr="009F7DC7">
              <w:rPr>
                <w:rFonts w:asciiTheme="majorHAnsi" w:hAnsiTheme="majorHAnsi" w:cstheme="majorHAnsi"/>
              </w:rPr>
              <w:t xml:space="preserve"> </w:t>
            </w:r>
            <w:r w:rsidRPr="009F7DC7">
              <w:rPr>
                <w:rFonts w:asciiTheme="majorHAnsi" w:hAnsiTheme="majorHAnsi" w:cstheme="majorHAnsi"/>
              </w:rPr>
              <w:t>about</w:t>
            </w:r>
            <w:r w:rsidR="00177E32" w:rsidRPr="009F7DC7">
              <w:rPr>
                <w:rFonts w:asciiTheme="majorHAnsi" w:hAnsiTheme="majorHAnsi" w:cstheme="majorHAnsi"/>
              </w:rPr>
              <w:t xml:space="preserve"> reactions to fever and impact on heart and lung conditions</w:t>
            </w:r>
            <w:r w:rsidRPr="009F7DC7">
              <w:rPr>
                <w:rFonts w:asciiTheme="majorHAnsi" w:hAnsiTheme="majorHAnsi" w:cstheme="majorHAnsi"/>
              </w:rPr>
              <w:t>.]</w:t>
            </w:r>
          </w:p>
        </w:tc>
      </w:tr>
    </w:tbl>
    <w:p w14:paraId="116BF38B" w14:textId="2456D9BA" w:rsidR="00C0183C" w:rsidRDefault="0015567C" w:rsidP="00C0183C">
      <w:pPr>
        <w:pStyle w:val="Heading2"/>
      </w:pPr>
      <w:r>
        <w:t>Prescription</w:t>
      </w:r>
    </w:p>
    <w:p w14:paraId="101E14E9" w14:textId="2C4F7DAD" w:rsidR="00166C20" w:rsidRDefault="00CC6AFC" w:rsidP="00B97137">
      <w:pPr>
        <w:rPr>
          <w:rFonts w:eastAsiaTheme="majorEastAsia"/>
        </w:rPr>
      </w:pPr>
      <w:r w:rsidRPr="008F221D">
        <w:rPr>
          <w:rFonts w:eastAsiaTheme="majorEastAsia"/>
        </w:rPr>
        <w:t xml:space="preserve">Give </w:t>
      </w:r>
      <w:r w:rsidR="008F221D" w:rsidRPr="008F221D">
        <w:rPr>
          <w:rFonts w:eastAsiaTheme="majorEastAsia"/>
        </w:rPr>
        <w:t xml:space="preserve">Pneumovax 23 </w:t>
      </w:r>
      <w:r w:rsidR="00E03813" w:rsidRPr="008F221D">
        <w:rPr>
          <w:rFonts w:eastAsiaTheme="majorEastAsia"/>
        </w:rPr>
        <w:t>(</w:t>
      </w:r>
      <w:r w:rsidR="008F221D" w:rsidRPr="008F221D">
        <w:rPr>
          <w:rFonts w:eastAsiaTheme="majorEastAsia"/>
        </w:rPr>
        <w:t>PPSV23</w:t>
      </w:r>
      <w:r w:rsidR="00E03813" w:rsidRPr="008F221D">
        <w:rPr>
          <w:rFonts w:eastAsiaTheme="majorEastAsia"/>
        </w:rPr>
        <w:t>),</w:t>
      </w:r>
      <w:r w:rsidRPr="008F221D">
        <w:rPr>
          <w:rFonts w:eastAsiaTheme="majorEastAsia"/>
        </w:rPr>
        <w:t xml:space="preserve"> 0.5 m</w:t>
      </w:r>
      <w:r w:rsidR="00E03813" w:rsidRPr="008F221D">
        <w:rPr>
          <w:rFonts w:eastAsiaTheme="majorEastAsia"/>
        </w:rPr>
        <w:t>L</w:t>
      </w:r>
      <w:r w:rsidRPr="008F221D">
        <w:rPr>
          <w:rFonts w:eastAsiaTheme="majorEastAsia"/>
        </w:rPr>
        <w:t>, either IM or subcutaneously</w:t>
      </w:r>
      <w:r w:rsidR="00E03813" w:rsidRPr="008F221D">
        <w:rPr>
          <w:rFonts w:eastAsiaTheme="majorEastAsia"/>
        </w:rPr>
        <w:t xml:space="preserve"> (</w:t>
      </w:r>
      <w:r w:rsidRPr="008F221D">
        <w:rPr>
          <w:rFonts w:eastAsiaTheme="majorEastAsia"/>
        </w:rPr>
        <w:t>route at nurse’s discretion</w:t>
      </w:r>
      <w:r w:rsidR="00E03813" w:rsidRPr="008F221D">
        <w:rPr>
          <w:rFonts w:eastAsiaTheme="majorEastAsia"/>
        </w:rPr>
        <w:t>)</w:t>
      </w:r>
      <w:r w:rsidRPr="008F221D">
        <w:rPr>
          <w:rFonts w:eastAsiaTheme="majorEastAsia"/>
        </w:rPr>
        <w:t>.</w:t>
      </w:r>
    </w:p>
    <w:p w14:paraId="24CDCA7B" w14:textId="77777777" w:rsidR="008F221D" w:rsidRPr="008F221D" w:rsidRDefault="008F221D" w:rsidP="00B97137">
      <w:pPr>
        <w:pStyle w:val="ListBullet"/>
        <w:rPr>
          <w:rFonts w:eastAsiaTheme="majorEastAsia"/>
        </w:rPr>
      </w:pPr>
      <w:r w:rsidRPr="008F221D">
        <w:rPr>
          <w:rFonts w:eastAsiaTheme="majorEastAsia"/>
        </w:rPr>
        <w:t>Immunocompetent:</w:t>
      </w:r>
    </w:p>
    <w:p w14:paraId="05DD854A" w14:textId="77777777" w:rsidR="008F221D" w:rsidRPr="008F221D" w:rsidRDefault="008F221D" w:rsidP="00B97137">
      <w:pPr>
        <w:pStyle w:val="ListBullet"/>
        <w:numPr>
          <w:ilvl w:val="1"/>
          <w:numId w:val="8"/>
        </w:numPr>
        <w:rPr>
          <w:rFonts w:eastAsiaTheme="majorEastAsia"/>
        </w:rPr>
      </w:pPr>
      <w:r w:rsidRPr="008F221D">
        <w:rPr>
          <w:rFonts w:eastAsiaTheme="majorEastAsia"/>
        </w:rPr>
        <w:t>Give 1 dose Pneumovax 23 (PPSV23), 0.5 mL, either IM or subcutaneously (route at nurse’s discretion); at least 8 weeks after completing the PCV13 series</w:t>
      </w:r>
      <w:r>
        <w:rPr>
          <w:rFonts w:eastAsiaTheme="majorEastAsia"/>
        </w:rPr>
        <w:t>.</w:t>
      </w:r>
    </w:p>
    <w:p w14:paraId="4BF34F61" w14:textId="630FA59C" w:rsidR="008F221D" w:rsidRPr="008F221D" w:rsidRDefault="008F221D" w:rsidP="00B97137">
      <w:pPr>
        <w:pStyle w:val="ListBullet"/>
        <w:rPr>
          <w:rFonts w:eastAsiaTheme="majorEastAsia"/>
        </w:rPr>
      </w:pPr>
      <w:r w:rsidRPr="008F221D">
        <w:rPr>
          <w:rFonts w:eastAsiaTheme="majorEastAsia"/>
        </w:rPr>
        <w:lastRenderedPageBreak/>
        <w:t>Immunocompromised:</w:t>
      </w:r>
    </w:p>
    <w:p w14:paraId="6A513B3E" w14:textId="46804966" w:rsidR="008F221D" w:rsidRPr="008F221D" w:rsidRDefault="008F221D" w:rsidP="00B97137">
      <w:pPr>
        <w:pStyle w:val="ListBullet"/>
        <w:numPr>
          <w:ilvl w:val="1"/>
          <w:numId w:val="8"/>
        </w:numPr>
        <w:rPr>
          <w:rFonts w:eastAsiaTheme="majorEastAsia"/>
        </w:rPr>
      </w:pPr>
      <w:bookmarkStart w:id="3" w:name="_Hlk98834671"/>
      <w:r w:rsidRPr="008F221D">
        <w:rPr>
          <w:rFonts w:eastAsiaTheme="majorEastAsia"/>
        </w:rPr>
        <w:t>Give 2 doses Pneumovax 23 (PPSV23), 0.5 mL, either IM or subcutaneously (route at nurse’s discretion); at least 8 weeks after completing the PCV13 series</w:t>
      </w:r>
      <w:bookmarkEnd w:id="3"/>
      <w:r w:rsidRPr="008F221D">
        <w:rPr>
          <w:rFonts w:eastAsiaTheme="majorEastAsia"/>
        </w:rPr>
        <w:t>, and then at least 5 years after first PPSV23 dose.</w:t>
      </w:r>
    </w:p>
    <w:p w14:paraId="42B27BC2" w14:textId="77777777" w:rsidR="0015567C" w:rsidRDefault="0015567C" w:rsidP="0015567C">
      <w:pPr>
        <w:pStyle w:val="Heading2"/>
      </w:pPr>
      <w:r>
        <w:t>Medical Emergency or Anaphylaxis</w:t>
      </w:r>
    </w:p>
    <w:p w14:paraId="49B76419" w14:textId="1B2E66A0" w:rsidR="005F3404" w:rsidRDefault="001506F2" w:rsidP="00604C16">
      <w:r w:rsidRPr="001506F2">
        <w:t>Follow pre-established agency protocol for anaphylaxis.</w:t>
      </w:r>
    </w:p>
    <w:p w14:paraId="15FFC4AE" w14:textId="77777777" w:rsidR="009F7DC7" w:rsidRDefault="009F7DC7" w:rsidP="009F7DC7">
      <w:pPr>
        <w:pStyle w:val="Heading2"/>
      </w:pPr>
      <w:r>
        <w:t>Question or concerns</w:t>
      </w:r>
    </w:p>
    <w:p w14:paraId="1028F405" w14:textId="77777777" w:rsidR="009F7DC7" w:rsidRPr="007D53F2" w:rsidRDefault="009F7DC7" w:rsidP="009F7DC7">
      <w:pPr>
        <w:rPr>
          <w:bCs/>
          <w:color w:val="C00000"/>
        </w:rPr>
      </w:pPr>
      <w:r w:rsidRPr="007D53F2">
        <w:rPr>
          <w:b/>
          <w:bCs/>
          <w:color w:val="C00000"/>
        </w:rPr>
        <w:t>Insert overseeing medical consultant’s information below and delete this sentence before printing/signing.</w:t>
      </w:r>
    </w:p>
    <w:p w14:paraId="0E262F1F" w14:textId="77777777" w:rsidR="009F7DC7" w:rsidRPr="007D53F2" w:rsidRDefault="009F7DC7" w:rsidP="009F7DC7">
      <w:pPr>
        <w:pStyle w:val="NormalLtBlueBackground"/>
      </w:pPr>
      <w:r>
        <w:t>I</w:t>
      </w:r>
      <w:r w:rsidRPr="59BEB75F">
        <w:t>n the event of questions or concerns</w:t>
      </w:r>
      <w:r>
        <w:t xml:space="preserve"> c</w:t>
      </w:r>
      <w:r w:rsidRPr="59BEB75F">
        <w:t xml:space="preserve">all </w:t>
      </w:r>
      <w:r w:rsidRPr="007D53F2">
        <w:rPr>
          <w:color w:val="C00000"/>
        </w:rPr>
        <w:t xml:space="preserve">(insert name) </w:t>
      </w:r>
      <w:r w:rsidRPr="59BEB75F">
        <w:t xml:space="preserve">at </w:t>
      </w:r>
      <w:r w:rsidRPr="007D53F2">
        <w:rPr>
          <w:color w:val="C00000"/>
        </w:rPr>
        <w:t>(insert phone number)</w:t>
      </w:r>
      <w:r>
        <w:t>.</w:t>
      </w:r>
    </w:p>
    <w:p w14:paraId="69EA80CA" w14:textId="77777777" w:rsidR="009F7DC7" w:rsidRPr="007D53F2" w:rsidRDefault="009F7DC7" w:rsidP="009F7DC7">
      <w:pPr>
        <w:suppressAutoHyphens w:val="0"/>
        <w:spacing w:before="600" w:after="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645BBEFD" w14:textId="77777777" w:rsidR="009F7DC7" w:rsidRPr="008C3BED" w:rsidRDefault="009F7DC7" w:rsidP="009F7DC7">
      <w:pPr>
        <w:pStyle w:val="NormalLtBlueBackground"/>
        <w:rPr>
          <w:sz w:val="20"/>
          <w:szCs w:val="20"/>
        </w:rPr>
      </w:pPr>
      <w:r w:rsidRPr="008C3BED">
        <w:t>Name of prescriber (please print):</w:t>
      </w:r>
    </w:p>
    <w:p w14:paraId="2EBAE88C" w14:textId="77777777" w:rsidR="009F7DC7" w:rsidRPr="008C3BED" w:rsidRDefault="009F7DC7" w:rsidP="009F7DC7">
      <w:pPr>
        <w:pStyle w:val="NormalLtBlueBackground"/>
        <w:rPr>
          <w:sz w:val="20"/>
          <w:szCs w:val="20"/>
        </w:rPr>
      </w:pPr>
      <w:r w:rsidRPr="008C3BED">
        <w:t>Prescriber signature:</w:t>
      </w:r>
    </w:p>
    <w:p w14:paraId="6E320A0C" w14:textId="6125F05C" w:rsidR="00387189" w:rsidRPr="009F7DC7" w:rsidRDefault="009F7DC7" w:rsidP="009F7DC7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387189" w:rsidRPr="009F7DC7" w:rsidSect="009F7DC7"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4342" w14:textId="77777777" w:rsidR="00F82A09" w:rsidRDefault="00F82A09" w:rsidP="00D36495">
      <w:r>
        <w:separator/>
      </w:r>
    </w:p>
  </w:endnote>
  <w:endnote w:type="continuationSeparator" w:id="0">
    <w:p w14:paraId="0A8B15A4" w14:textId="77777777" w:rsidR="00F82A09" w:rsidRDefault="00F82A0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498252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</w:rPr>
    </w:sdtEndPr>
    <w:sdtContent>
      <w:p w14:paraId="63FF5FC3" w14:textId="12AA6A7B" w:rsidR="000F7548" w:rsidRPr="009F7DC7" w:rsidRDefault="009F7DC7" w:rsidP="009F7DC7">
        <w:pPr>
          <w:pStyle w:val="Footer"/>
          <w:jc w:val="center"/>
          <w:rPr>
            <w:rStyle w:val="HeaderChar"/>
          </w:rPr>
        </w:pPr>
        <w:r w:rsidRPr="009F7DC7">
          <w:rPr>
            <w:rStyle w:val="HeaderChar"/>
          </w:rPr>
          <w:fldChar w:fldCharType="begin"/>
        </w:r>
        <w:r w:rsidRPr="009F7DC7">
          <w:rPr>
            <w:rStyle w:val="HeaderChar"/>
          </w:rPr>
          <w:instrText xml:space="preserve"> PAGE   \* MERGEFORMAT </w:instrText>
        </w:r>
        <w:r w:rsidRPr="009F7DC7">
          <w:rPr>
            <w:rStyle w:val="HeaderChar"/>
          </w:rPr>
          <w:fldChar w:fldCharType="separate"/>
        </w:r>
        <w:r w:rsidRPr="009F7DC7">
          <w:rPr>
            <w:rStyle w:val="HeaderChar"/>
          </w:rPr>
          <w:t>2</w:t>
        </w:r>
        <w:r w:rsidRPr="009F7DC7">
          <w:rPr>
            <w:rStyle w:val="HeaderCh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129085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</w:rPr>
    </w:sdtEndPr>
    <w:sdtContent>
      <w:p w14:paraId="29497D26" w14:textId="340FCE8E" w:rsidR="00B45CED" w:rsidRPr="009F7DC7" w:rsidRDefault="009F7DC7" w:rsidP="009F7DC7">
        <w:pPr>
          <w:pStyle w:val="Footer"/>
          <w:jc w:val="center"/>
          <w:rPr>
            <w:rStyle w:val="HeaderChar"/>
          </w:rPr>
        </w:pPr>
        <w:r w:rsidRPr="009F7DC7">
          <w:rPr>
            <w:rStyle w:val="HeaderChar"/>
          </w:rPr>
          <w:fldChar w:fldCharType="begin"/>
        </w:r>
        <w:r w:rsidRPr="009F7DC7">
          <w:rPr>
            <w:rStyle w:val="HeaderChar"/>
          </w:rPr>
          <w:instrText xml:space="preserve"> PAGE   \* MERGEFORMAT </w:instrText>
        </w:r>
        <w:r w:rsidRPr="009F7DC7">
          <w:rPr>
            <w:rStyle w:val="HeaderChar"/>
          </w:rPr>
          <w:fldChar w:fldCharType="separate"/>
        </w:r>
        <w:r w:rsidRPr="009F7DC7">
          <w:rPr>
            <w:rStyle w:val="HeaderChar"/>
          </w:rPr>
          <w:t>2</w:t>
        </w:r>
        <w:r w:rsidRPr="009F7DC7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72C0" w14:textId="77777777" w:rsidR="00F82A09" w:rsidRDefault="00F82A09" w:rsidP="00D36495">
      <w:r>
        <w:separator/>
      </w:r>
    </w:p>
  </w:footnote>
  <w:footnote w:type="continuationSeparator" w:id="0">
    <w:p w14:paraId="5A577A7C" w14:textId="77777777" w:rsidR="00F82A09" w:rsidRDefault="00F82A09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15F4CCF"/>
    <w:multiLevelType w:val="hybridMultilevel"/>
    <w:tmpl w:val="D68C4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68D8"/>
    <w:multiLevelType w:val="hybridMultilevel"/>
    <w:tmpl w:val="CF1E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825402F"/>
    <w:multiLevelType w:val="hybridMultilevel"/>
    <w:tmpl w:val="3A36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8EA6F80"/>
    <w:multiLevelType w:val="hybridMultilevel"/>
    <w:tmpl w:val="C7CA1F8A"/>
    <w:lvl w:ilvl="0" w:tplc="0848152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15F4F"/>
    <w:multiLevelType w:val="hybridMultilevel"/>
    <w:tmpl w:val="E0E0765C"/>
    <w:lvl w:ilvl="0" w:tplc="0848152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65F62"/>
    <w:multiLevelType w:val="hybridMultilevel"/>
    <w:tmpl w:val="3E5A7828"/>
    <w:lvl w:ilvl="0" w:tplc="5E36C0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C6413E8"/>
    <w:multiLevelType w:val="hybridMultilevel"/>
    <w:tmpl w:val="B328A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05E85"/>
    <w:multiLevelType w:val="hybridMultilevel"/>
    <w:tmpl w:val="937A1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02104434">
    <w:abstractNumId w:val="1"/>
  </w:num>
  <w:num w:numId="2" w16cid:durableId="191382479">
    <w:abstractNumId w:val="0"/>
  </w:num>
  <w:num w:numId="3" w16cid:durableId="1054624716">
    <w:abstractNumId w:val="12"/>
  </w:num>
  <w:num w:numId="4" w16cid:durableId="871844715">
    <w:abstractNumId w:val="20"/>
  </w:num>
  <w:num w:numId="5" w16cid:durableId="1377898317">
    <w:abstractNumId w:val="4"/>
  </w:num>
  <w:num w:numId="6" w16cid:durableId="801459547">
    <w:abstractNumId w:val="2"/>
  </w:num>
  <w:num w:numId="7" w16cid:durableId="1432705998">
    <w:abstractNumId w:val="9"/>
  </w:num>
  <w:num w:numId="8" w16cid:durableId="127549423">
    <w:abstractNumId w:val="6"/>
  </w:num>
  <w:num w:numId="9" w16cid:durableId="9531146">
    <w:abstractNumId w:val="15"/>
  </w:num>
  <w:num w:numId="10" w16cid:durableId="905921061">
    <w:abstractNumId w:val="14"/>
  </w:num>
  <w:num w:numId="11" w16cid:durableId="1896694180">
    <w:abstractNumId w:val="7"/>
  </w:num>
  <w:num w:numId="12" w16cid:durableId="707795808">
    <w:abstractNumId w:val="11"/>
  </w:num>
  <w:num w:numId="13" w16cid:durableId="255597321">
    <w:abstractNumId w:val="5"/>
  </w:num>
  <w:num w:numId="14" w16cid:durableId="783229832">
    <w:abstractNumId w:val="17"/>
  </w:num>
  <w:num w:numId="15" w16cid:durableId="1762792411">
    <w:abstractNumId w:val="3"/>
  </w:num>
  <w:num w:numId="16" w16cid:durableId="1526091392">
    <w:abstractNumId w:val="10"/>
  </w:num>
  <w:num w:numId="17" w16cid:durableId="1540628920">
    <w:abstractNumId w:val="16"/>
  </w:num>
  <w:num w:numId="18" w16cid:durableId="783840682">
    <w:abstractNumId w:val="19"/>
  </w:num>
  <w:num w:numId="19" w16cid:durableId="163324341">
    <w:abstractNumId w:val="18"/>
  </w:num>
  <w:num w:numId="20" w16cid:durableId="578098318">
    <w:abstractNumId w:val="8"/>
  </w:num>
  <w:num w:numId="21" w16cid:durableId="93647515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4A48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888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B17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5C7C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2AB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408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7B9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6D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6F2"/>
    <w:rsid w:val="001515ED"/>
    <w:rsid w:val="001523D0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09D4"/>
    <w:rsid w:val="00161430"/>
    <w:rsid w:val="001619DA"/>
    <w:rsid w:val="0016292B"/>
    <w:rsid w:val="00163482"/>
    <w:rsid w:val="00163E0D"/>
    <w:rsid w:val="00164630"/>
    <w:rsid w:val="00164F6C"/>
    <w:rsid w:val="001652EF"/>
    <w:rsid w:val="00166394"/>
    <w:rsid w:val="00166451"/>
    <w:rsid w:val="001666BE"/>
    <w:rsid w:val="00166B0F"/>
    <w:rsid w:val="00166C20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E32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AFD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A68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55C92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D38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388A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5E03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6DCD"/>
    <w:rsid w:val="002F705B"/>
    <w:rsid w:val="003005EE"/>
    <w:rsid w:val="00300833"/>
    <w:rsid w:val="003008FD"/>
    <w:rsid w:val="00300DC5"/>
    <w:rsid w:val="0030124E"/>
    <w:rsid w:val="003013B3"/>
    <w:rsid w:val="00302059"/>
    <w:rsid w:val="0030298A"/>
    <w:rsid w:val="0030376F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6484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3FA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189"/>
    <w:rsid w:val="00387470"/>
    <w:rsid w:val="00387AC5"/>
    <w:rsid w:val="00390391"/>
    <w:rsid w:val="0039086C"/>
    <w:rsid w:val="003910D3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AAB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A7B24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8C8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07AC4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6D3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3CE2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6EB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2F59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26F9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675C"/>
    <w:rsid w:val="00497A5A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2F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167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154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756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577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68B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32E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4E87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485A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86F11"/>
    <w:rsid w:val="006900DF"/>
    <w:rsid w:val="00690CC8"/>
    <w:rsid w:val="00691633"/>
    <w:rsid w:val="0069299A"/>
    <w:rsid w:val="00692A59"/>
    <w:rsid w:val="0069359F"/>
    <w:rsid w:val="00693DD1"/>
    <w:rsid w:val="00695750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361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572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16BF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1877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55C1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2A5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708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416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E788F"/>
    <w:rsid w:val="007F0AB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396E"/>
    <w:rsid w:val="00834ACA"/>
    <w:rsid w:val="00836BB7"/>
    <w:rsid w:val="008376C8"/>
    <w:rsid w:val="008377E6"/>
    <w:rsid w:val="0084061F"/>
    <w:rsid w:val="00843E84"/>
    <w:rsid w:val="00844445"/>
    <w:rsid w:val="008445DD"/>
    <w:rsid w:val="008450E3"/>
    <w:rsid w:val="0084516F"/>
    <w:rsid w:val="0084760B"/>
    <w:rsid w:val="00850587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FE9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97F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21D"/>
    <w:rsid w:val="008F2B1D"/>
    <w:rsid w:val="008F2FF6"/>
    <w:rsid w:val="008F3638"/>
    <w:rsid w:val="008F47A9"/>
    <w:rsid w:val="008F4C88"/>
    <w:rsid w:val="008F634A"/>
    <w:rsid w:val="008F63CA"/>
    <w:rsid w:val="008F6AC0"/>
    <w:rsid w:val="008F7961"/>
    <w:rsid w:val="008F7E92"/>
    <w:rsid w:val="0090109E"/>
    <w:rsid w:val="00901B72"/>
    <w:rsid w:val="00901F22"/>
    <w:rsid w:val="0090235E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1FB"/>
    <w:rsid w:val="0093469A"/>
    <w:rsid w:val="00934DF1"/>
    <w:rsid w:val="00935E92"/>
    <w:rsid w:val="00936F2F"/>
    <w:rsid w:val="00940331"/>
    <w:rsid w:val="00940A68"/>
    <w:rsid w:val="00941CB4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259A"/>
    <w:rsid w:val="00985370"/>
    <w:rsid w:val="00985464"/>
    <w:rsid w:val="009858A1"/>
    <w:rsid w:val="009867CB"/>
    <w:rsid w:val="00987CA3"/>
    <w:rsid w:val="00990EAB"/>
    <w:rsid w:val="00990FDC"/>
    <w:rsid w:val="00991582"/>
    <w:rsid w:val="009917DE"/>
    <w:rsid w:val="00991ACE"/>
    <w:rsid w:val="00992BDE"/>
    <w:rsid w:val="00993B1A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979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163"/>
    <w:rsid w:val="009F430E"/>
    <w:rsid w:val="009F43F7"/>
    <w:rsid w:val="009F4843"/>
    <w:rsid w:val="009F5C64"/>
    <w:rsid w:val="009F64F2"/>
    <w:rsid w:val="009F67FF"/>
    <w:rsid w:val="009F698B"/>
    <w:rsid w:val="009F7A93"/>
    <w:rsid w:val="009F7DC7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21"/>
    <w:rsid w:val="00A161A0"/>
    <w:rsid w:val="00A16C9E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27909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47C4E"/>
    <w:rsid w:val="00A50D02"/>
    <w:rsid w:val="00A51A14"/>
    <w:rsid w:val="00A51C05"/>
    <w:rsid w:val="00A51C7A"/>
    <w:rsid w:val="00A51D6A"/>
    <w:rsid w:val="00A52557"/>
    <w:rsid w:val="00A5402D"/>
    <w:rsid w:val="00A542FC"/>
    <w:rsid w:val="00A54AA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1DB1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67BF2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620B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C15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6AE3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16A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5D5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3ED"/>
    <w:rsid w:val="00B0676E"/>
    <w:rsid w:val="00B07E90"/>
    <w:rsid w:val="00B1151F"/>
    <w:rsid w:val="00B117EC"/>
    <w:rsid w:val="00B11FD4"/>
    <w:rsid w:val="00B1242C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E60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70F"/>
    <w:rsid w:val="00B94C9F"/>
    <w:rsid w:val="00B950E0"/>
    <w:rsid w:val="00B956F3"/>
    <w:rsid w:val="00B95FAA"/>
    <w:rsid w:val="00B960C0"/>
    <w:rsid w:val="00B97137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753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25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83C"/>
    <w:rsid w:val="00C01B5D"/>
    <w:rsid w:val="00C028BB"/>
    <w:rsid w:val="00C03239"/>
    <w:rsid w:val="00C03382"/>
    <w:rsid w:val="00C035BD"/>
    <w:rsid w:val="00C03E8F"/>
    <w:rsid w:val="00C0417F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6C20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3B1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CAD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0CA3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6AFC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1F4E"/>
    <w:rsid w:val="00CF2892"/>
    <w:rsid w:val="00CF3178"/>
    <w:rsid w:val="00CF3259"/>
    <w:rsid w:val="00CF46D3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144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450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7752"/>
    <w:rsid w:val="00D70D11"/>
    <w:rsid w:val="00D71273"/>
    <w:rsid w:val="00D72D81"/>
    <w:rsid w:val="00D730B1"/>
    <w:rsid w:val="00D7352A"/>
    <w:rsid w:val="00D742C2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81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5D48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5AF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3E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024D"/>
    <w:rsid w:val="00E91497"/>
    <w:rsid w:val="00E91508"/>
    <w:rsid w:val="00E91571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84B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283C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2A09"/>
    <w:rsid w:val="00F83A87"/>
    <w:rsid w:val="00F83AA6"/>
    <w:rsid w:val="00F85218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25C9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0C7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B3FB99E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1648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7137"/>
    <w:pPr>
      <w:keepNext/>
      <w:keepLines/>
      <w:spacing w:before="48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713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D14144"/>
    <w:pPr>
      <w:tabs>
        <w:tab w:val="center" w:pos="4680"/>
        <w:tab w:val="right" w:pos="9360"/>
      </w:tabs>
      <w:spacing w:before="0"/>
      <w:jc w:val="right"/>
    </w:pPr>
    <w:rPr>
      <w:sz w:val="20"/>
      <w:szCs w:val="20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D14144"/>
    <w:rPr>
      <w:sz w:val="20"/>
      <w:szCs w:val="20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9713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B97137"/>
    <w:pPr>
      <w:numPr>
        <w:ilvl w:val="1"/>
      </w:numPr>
      <w:spacing w:after="24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B9713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Revision">
    <w:name w:val="Revision"/>
    <w:hidden/>
    <w:uiPriority w:val="99"/>
    <w:semiHidden/>
    <w:rsid w:val="00CF1F4E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locked/>
    <w:rsid w:val="00FD40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FD4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4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D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40C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h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CB4B2-3A96-4E60-8A02-200DFD4471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12</TotalTime>
  <Pages>3</Pages>
  <Words>689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Inactivated Influenza Vaccine (IIV) Protocol for children age 6 months through 8 years</vt:lpstr>
    </vt:vector>
  </TitlesOfParts>
  <Company>State of Minnesota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Inactivated Influenza Vaccine (IIV) Protocol for children age 6 months through 8 years</dc:title>
  <dc:subject/>
  <dc:creator>MDH VPD Section</dc:creator>
  <cp:keywords/>
  <dc:description/>
  <cp:lastModifiedBy>Schultz, Tracy (She/Her/Hers) (MDH)</cp:lastModifiedBy>
  <cp:revision>4</cp:revision>
  <cp:lastPrinted>2016-12-14T18:03:00Z</cp:lastPrinted>
  <dcterms:created xsi:type="dcterms:W3CDTF">2022-04-28T14:16:00Z</dcterms:created>
  <dcterms:modified xsi:type="dcterms:W3CDTF">2026-01-15T16:34:00Z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